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89F5" w14:textId="77777777" w:rsidR="0048036A" w:rsidRDefault="0048036A" w:rsidP="0048036A">
      <w:pPr>
        <w:rPr>
          <w:lang w:val="en-US"/>
        </w:rPr>
      </w:pPr>
    </w:p>
    <w:p w14:paraId="037A2875" w14:textId="05000981" w:rsidR="0048036A" w:rsidRPr="0048036A" w:rsidRDefault="0048036A" w:rsidP="00D04CA7">
      <w:pPr>
        <w:jc w:val="center"/>
        <w:rPr>
          <w:b/>
          <w:bCs/>
        </w:rPr>
      </w:pPr>
      <w:r w:rsidRPr="0048036A">
        <w:rPr>
          <w:b/>
          <w:bCs/>
        </w:rPr>
        <w:t>LOW RISK FBO PROFILE</w:t>
      </w:r>
    </w:p>
    <w:p w14:paraId="64638A76" w14:textId="77777777" w:rsidR="00C5614E" w:rsidRDefault="00C5614E" w:rsidP="0048036A">
      <w:pPr>
        <w:rPr>
          <w:b/>
          <w:bCs/>
        </w:rPr>
      </w:pPr>
    </w:p>
    <w:p w14:paraId="006EB6CC" w14:textId="4A922A09" w:rsidR="0048036A" w:rsidRPr="0048036A" w:rsidRDefault="0048036A" w:rsidP="0048036A">
      <w:pPr>
        <w:rPr>
          <w:b/>
          <w:bCs/>
        </w:rPr>
      </w:pPr>
      <w:r w:rsidRPr="0048036A">
        <w:rPr>
          <w:b/>
          <w:bCs/>
        </w:rPr>
        <w:t>Background</w:t>
      </w:r>
    </w:p>
    <w:p w14:paraId="32675C9E" w14:textId="77777777" w:rsidR="0048036A" w:rsidRPr="0048036A" w:rsidRDefault="0048036A" w:rsidP="0048036A">
      <w:r w:rsidRPr="0048036A">
        <w:t xml:space="preserve">Since the promulgation of the </w:t>
      </w:r>
      <w:r w:rsidRPr="0048036A">
        <w:rPr>
          <w:b/>
          <w:bCs/>
        </w:rPr>
        <w:t>Standard for Food Hygiene and Food Safety of regulated Agricultural Products of plant origin destined for export</w:t>
      </w:r>
      <w:r w:rsidRPr="0048036A">
        <w:t xml:space="preserve"> in May 2005, the Food Safety Forum has appointed a Technical Working Group (TWG) to develop a risk profile and technical compliance detail for all FBO’s to comply with. At that stage the Food Safety Forum took a decision to consider FBO’s with a commercial certification relevant to the official food safety system as a low risk, and to not audit these FBO’s under the official system until further consideration by the Technical Work Group (TWG).</w:t>
      </w:r>
    </w:p>
    <w:p w14:paraId="4258EF31" w14:textId="77777777" w:rsidR="0048036A" w:rsidRPr="0048036A" w:rsidRDefault="0048036A" w:rsidP="0048036A">
      <w:r w:rsidRPr="0048036A">
        <w:t>This decision was based on the fact that commercial certificates address the majority of the food safety risks, while FBO's with no system in place are probably more likely to pose a food safety risk to consumers.</w:t>
      </w:r>
    </w:p>
    <w:p w14:paraId="68DD0F51" w14:textId="77777777" w:rsidR="0048036A" w:rsidRPr="0048036A" w:rsidRDefault="0048036A" w:rsidP="0048036A">
      <w:r w:rsidRPr="0048036A">
        <w:t>Below find a table indicating commercial certificates that will be acceptable under the official food safety system that would qualify the FBO as low risk and thus for provisional exemption from official food safety audits</w:t>
      </w:r>
    </w:p>
    <w:p w14:paraId="060C7717" w14:textId="77777777" w:rsidR="0048036A" w:rsidRDefault="0048036A" w:rsidP="0048036A">
      <w:pPr>
        <w:rPr>
          <w:lang w:val="en-US"/>
        </w:rPr>
      </w:pPr>
    </w:p>
    <w:p w14:paraId="1115C999" w14:textId="77777777" w:rsidR="0048036A" w:rsidRDefault="0048036A" w:rsidP="0048036A">
      <w:pPr>
        <w:rPr>
          <w:lang w:val="en-US"/>
        </w:rPr>
      </w:pPr>
    </w:p>
    <w:p w14:paraId="39BF2418" w14:textId="77777777" w:rsidR="0048036A" w:rsidRDefault="0048036A" w:rsidP="0048036A">
      <w:pPr>
        <w:rPr>
          <w:lang w:val="en-US"/>
        </w:rPr>
      </w:pPr>
    </w:p>
    <w:p w14:paraId="2F05AC46" w14:textId="77777777" w:rsidR="0048036A" w:rsidRDefault="0048036A" w:rsidP="0048036A">
      <w:pPr>
        <w:rPr>
          <w:lang w:val="en-US"/>
        </w:rPr>
      </w:pPr>
    </w:p>
    <w:p w14:paraId="4D73EAC4" w14:textId="77777777" w:rsidR="0048036A" w:rsidRDefault="0048036A" w:rsidP="0048036A">
      <w:pPr>
        <w:rPr>
          <w:lang w:val="en-US"/>
        </w:rPr>
      </w:pPr>
    </w:p>
    <w:p w14:paraId="3AA24402" w14:textId="77777777" w:rsidR="0048036A" w:rsidRDefault="0048036A" w:rsidP="0048036A">
      <w:pPr>
        <w:rPr>
          <w:lang w:val="en-US"/>
        </w:rPr>
      </w:pPr>
    </w:p>
    <w:p w14:paraId="7553B0E5" w14:textId="77777777" w:rsidR="0048036A" w:rsidRDefault="0048036A" w:rsidP="0048036A">
      <w:pPr>
        <w:rPr>
          <w:lang w:val="en-US"/>
        </w:rPr>
      </w:pPr>
    </w:p>
    <w:p w14:paraId="37EF1D56" w14:textId="77777777" w:rsidR="0048036A" w:rsidRDefault="0048036A" w:rsidP="0048036A">
      <w:pPr>
        <w:rPr>
          <w:lang w:val="en-US"/>
        </w:rPr>
      </w:pPr>
    </w:p>
    <w:p w14:paraId="5BEC01CF" w14:textId="77777777" w:rsidR="0048036A" w:rsidRDefault="0048036A" w:rsidP="0048036A">
      <w:pPr>
        <w:rPr>
          <w:lang w:val="en-US"/>
        </w:rPr>
      </w:pPr>
    </w:p>
    <w:p w14:paraId="04F82910" w14:textId="77777777" w:rsidR="0048036A" w:rsidRPr="0048036A" w:rsidRDefault="0048036A" w:rsidP="0048036A"/>
    <w:p w14:paraId="611C71EA" w14:textId="5431B316" w:rsidR="0048036A" w:rsidRPr="0048036A" w:rsidRDefault="0048036A" w:rsidP="0048036A">
      <w:pPr>
        <w:jc w:val="center"/>
        <w:rPr>
          <w:b/>
          <w:i/>
          <w:u w:val="single"/>
          <w:lang w:val="en-US"/>
        </w:rPr>
      </w:pPr>
      <w:r w:rsidRPr="0048036A">
        <w:rPr>
          <w:b/>
          <w:i/>
          <w:u w:val="single"/>
          <w:lang w:val="en-US"/>
        </w:rPr>
        <w:lastRenderedPageBreak/>
        <w:t xml:space="preserve">Table 1: Third-party Certification Systems acceptable for consideration </w:t>
      </w:r>
      <w:proofErr w:type="gramStart"/>
      <w:r w:rsidRPr="0048036A">
        <w:rPr>
          <w:b/>
          <w:i/>
          <w:u w:val="single"/>
          <w:lang w:val="en-US"/>
        </w:rPr>
        <w:t>of</w:t>
      </w:r>
      <w:proofErr w:type="gramEnd"/>
      <w:r w:rsidRPr="0048036A">
        <w:rPr>
          <w:b/>
          <w:i/>
          <w:u w:val="single"/>
          <w:lang w:val="en-US"/>
        </w:rPr>
        <w:t xml:space="preserve"> Food Business Operators.</w:t>
      </w:r>
    </w:p>
    <w:tbl>
      <w:tblPr>
        <w:tblW w:w="14452" w:type="dxa"/>
        <w:tblCellSpacing w:w="1440" w:type="nil"/>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507"/>
        <w:gridCol w:w="1418"/>
        <w:gridCol w:w="1275"/>
        <w:gridCol w:w="1199"/>
        <w:gridCol w:w="1410"/>
        <w:gridCol w:w="1106"/>
        <w:gridCol w:w="1271"/>
        <w:gridCol w:w="1414"/>
        <w:gridCol w:w="852"/>
      </w:tblGrid>
      <w:tr w:rsidR="0048036A" w:rsidRPr="0048036A" w14:paraId="2D317975" w14:textId="77777777" w:rsidTr="0048036A">
        <w:trPr>
          <w:trHeight w:val="213"/>
          <w:tblCellSpacing w:w="1440" w:type="nil"/>
        </w:trPr>
        <w:tc>
          <w:tcPr>
            <w:tcW w:w="4507" w:type="dxa"/>
            <w:vMerge w:val="restart"/>
            <w:shd w:val="clear" w:color="auto" w:fill="33CCCC"/>
          </w:tcPr>
          <w:p w14:paraId="1B4B15D2" w14:textId="77777777" w:rsidR="0048036A" w:rsidRPr="0048036A" w:rsidRDefault="0048036A" w:rsidP="0048036A">
            <w:pPr>
              <w:rPr>
                <w:b/>
                <w:lang w:val="en-US"/>
              </w:rPr>
            </w:pPr>
          </w:p>
          <w:p w14:paraId="2A90DDC6" w14:textId="77777777" w:rsidR="0048036A" w:rsidRPr="0048036A" w:rsidRDefault="0048036A" w:rsidP="0048036A">
            <w:pPr>
              <w:rPr>
                <w:b/>
                <w:lang w:val="en-US"/>
              </w:rPr>
            </w:pPr>
          </w:p>
          <w:p w14:paraId="1298CF85" w14:textId="77777777" w:rsidR="0048036A" w:rsidRPr="0048036A" w:rsidRDefault="0048036A" w:rsidP="0048036A">
            <w:pPr>
              <w:rPr>
                <w:b/>
                <w:lang w:val="en-US"/>
              </w:rPr>
            </w:pPr>
            <w:r w:rsidRPr="0048036A">
              <w:rPr>
                <w:b/>
                <w:lang w:val="en-US"/>
              </w:rPr>
              <w:t>Valid Commercial Certifications</w:t>
            </w:r>
          </w:p>
        </w:tc>
        <w:tc>
          <w:tcPr>
            <w:tcW w:w="9945" w:type="dxa"/>
            <w:gridSpan w:val="8"/>
            <w:shd w:val="clear" w:color="auto" w:fill="33CCCC"/>
          </w:tcPr>
          <w:p w14:paraId="0B5DEBF3" w14:textId="77777777" w:rsidR="0048036A" w:rsidRPr="0048036A" w:rsidRDefault="0048036A" w:rsidP="0048036A">
            <w:pPr>
              <w:rPr>
                <w:b/>
                <w:lang w:val="en-US"/>
              </w:rPr>
            </w:pPr>
            <w:r w:rsidRPr="0048036A">
              <w:rPr>
                <w:b/>
                <w:lang w:val="en-US"/>
              </w:rPr>
              <w:t xml:space="preserve">                                                                          FBO Type</w:t>
            </w:r>
          </w:p>
        </w:tc>
      </w:tr>
      <w:tr w:rsidR="0048036A" w:rsidRPr="0048036A" w14:paraId="2C1F5CBA" w14:textId="77777777" w:rsidTr="00C93730">
        <w:trPr>
          <w:trHeight w:val="1190"/>
          <w:tblCellSpacing w:w="1440" w:type="nil"/>
        </w:trPr>
        <w:tc>
          <w:tcPr>
            <w:tcW w:w="4507" w:type="dxa"/>
            <w:vMerge/>
            <w:shd w:val="clear" w:color="auto" w:fill="CCFFFF"/>
          </w:tcPr>
          <w:p w14:paraId="5E0D4F79" w14:textId="77777777" w:rsidR="0048036A" w:rsidRPr="0048036A" w:rsidRDefault="0048036A" w:rsidP="0048036A">
            <w:pPr>
              <w:rPr>
                <w:b/>
                <w:lang w:val="en-US"/>
              </w:rPr>
            </w:pPr>
          </w:p>
        </w:tc>
        <w:tc>
          <w:tcPr>
            <w:tcW w:w="1418" w:type="dxa"/>
            <w:shd w:val="clear" w:color="auto" w:fill="CCFFFF"/>
          </w:tcPr>
          <w:p w14:paraId="3FAECA38" w14:textId="77777777" w:rsidR="0048036A" w:rsidRPr="0048036A" w:rsidRDefault="0048036A" w:rsidP="0048036A">
            <w:pPr>
              <w:rPr>
                <w:b/>
                <w:lang w:val="en-US"/>
              </w:rPr>
            </w:pPr>
            <w:r w:rsidRPr="0048036A">
              <w:rPr>
                <w:b/>
                <w:lang w:val="en-US"/>
              </w:rPr>
              <w:t>Primary Production</w:t>
            </w:r>
          </w:p>
        </w:tc>
        <w:tc>
          <w:tcPr>
            <w:tcW w:w="1275" w:type="dxa"/>
            <w:shd w:val="clear" w:color="auto" w:fill="CCFFFF"/>
          </w:tcPr>
          <w:p w14:paraId="2F90AA73" w14:textId="77777777" w:rsidR="0048036A" w:rsidRPr="0048036A" w:rsidRDefault="0048036A" w:rsidP="0048036A">
            <w:pPr>
              <w:rPr>
                <w:b/>
                <w:lang w:val="en-US"/>
              </w:rPr>
            </w:pPr>
            <w:r w:rsidRPr="0048036A">
              <w:rPr>
                <w:b/>
                <w:lang w:val="en-US"/>
              </w:rPr>
              <w:t xml:space="preserve">On farm </w:t>
            </w:r>
            <w:proofErr w:type="gramStart"/>
            <w:r w:rsidRPr="0048036A">
              <w:rPr>
                <w:b/>
                <w:lang w:val="en-US"/>
              </w:rPr>
              <w:t>produce</w:t>
            </w:r>
            <w:proofErr w:type="gramEnd"/>
            <w:r w:rsidRPr="0048036A">
              <w:rPr>
                <w:b/>
                <w:lang w:val="en-US"/>
              </w:rPr>
              <w:t xml:space="preserve"> handling facilities</w:t>
            </w:r>
          </w:p>
        </w:tc>
        <w:tc>
          <w:tcPr>
            <w:tcW w:w="1199" w:type="dxa"/>
            <w:shd w:val="clear" w:color="auto" w:fill="CCFFFF"/>
          </w:tcPr>
          <w:p w14:paraId="5BE7CB07" w14:textId="77777777" w:rsidR="0048036A" w:rsidRPr="0048036A" w:rsidRDefault="0048036A" w:rsidP="0048036A">
            <w:pPr>
              <w:rPr>
                <w:b/>
                <w:lang w:val="en-US"/>
              </w:rPr>
            </w:pPr>
            <w:r w:rsidRPr="0048036A">
              <w:rPr>
                <w:b/>
                <w:lang w:val="en-US"/>
              </w:rPr>
              <w:t>Off-farm produce handling facilities</w:t>
            </w:r>
          </w:p>
        </w:tc>
        <w:tc>
          <w:tcPr>
            <w:tcW w:w="1410" w:type="dxa"/>
            <w:shd w:val="clear" w:color="auto" w:fill="CCFFFF"/>
          </w:tcPr>
          <w:p w14:paraId="6664AFCC" w14:textId="77777777" w:rsidR="0048036A" w:rsidRPr="0048036A" w:rsidRDefault="0048036A" w:rsidP="0048036A">
            <w:pPr>
              <w:rPr>
                <w:b/>
                <w:lang w:val="en-US"/>
              </w:rPr>
            </w:pPr>
            <w:r w:rsidRPr="0048036A">
              <w:rPr>
                <w:b/>
                <w:lang w:val="en-US"/>
              </w:rPr>
              <w:t>Processing</w:t>
            </w:r>
          </w:p>
        </w:tc>
        <w:tc>
          <w:tcPr>
            <w:tcW w:w="1106" w:type="dxa"/>
            <w:shd w:val="clear" w:color="auto" w:fill="CCFFFF"/>
          </w:tcPr>
          <w:p w14:paraId="3FB9004C" w14:textId="77777777" w:rsidR="0048036A" w:rsidRPr="0048036A" w:rsidRDefault="0048036A" w:rsidP="0048036A">
            <w:pPr>
              <w:rPr>
                <w:b/>
                <w:lang w:val="en-US"/>
              </w:rPr>
            </w:pPr>
            <w:r w:rsidRPr="0048036A">
              <w:rPr>
                <w:b/>
                <w:lang w:val="en-US"/>
              </w:rPr>
              <w:t>Cold Store</w:t>
            </w:r>
          </w:p>
        </w:tc>
        <w:tc>
          <w:tcPr>
            <w:tcW w:w="1271" w:type="dxa"/>
            <w:shd w:val="clear" w:color="auto" w:fill="CCFFFF"/>
          </w:tcPr>
          <w:p w14:paraId="374D3F9F" w14:textId="77777777" w:rsidR="0048036A" w:rsidRPr="0048036A" w:rsidRDefault="0048036A" w:rsidP="0048036A">
            <w:pPr>
              <w:rPr>
                <w:b/>
                <w:lang w:val="en-US"/>
              </w:rPr>
            </w:pPr>
            <w:r w:rsidRPr="0048036A">
              <w:rPr>
                <w:b/>
                <w:lang w:val="en-US"/>
              </w:rPr>
              <w:t>Container depot</w:t>
            </w:r>
          </w:p>
        </w:tc>
        <w:tc>
          <w:tcPr>
            <w:tcW w:w="1414" w:type="dxa"/>
            <w:shd w:val="clear" w:color="auto" w:fill="CCFFFF"/>
          </w:tcPr>
          <w:p w14:paraId="298E92B3" w14:textId="77777777" w:rsidR="0048036A" w:rsidRPr="0048036A" w:rsidRDefault="0048036A" w:rsidP="0048036A">
            <w:pPr>
              <w:rPr>
                <w:b/>
                <w:lang w:val="en-US"/>
              </w:rPr>
            </w:pPr>
            <w:r w:rsidRPr="0048036A">
              <w:rPr>
                <w:b/>
                <w:lang w:val="en-US"/>
              </w:rPr>
              <w:t>Transporter</w:t>
            </w:r>
          </w:p>
        </w:tc>
        <w:tc>
          <w:tcPr>
            <w:tcW w:w="852" w:type="dxa"/>
            <w:shd w:val="clear" w:color="auto" w:fill="CCFFFF"/>
          </w:tcPr>
          <w:p w14:paraId="5D9EB1FF" w14:textId="77777777" w:rsidR="0048036A" w:rsidRPr="0048036A" w:rsidRDefault="0048036A" w:rsidP="0048036A">
            <w:pPr>
              <w:rPr>
                <w:b/>
                <w:lang w:val="en-US"/>
              </w:rPr>
            </w:pPr>
            <w:r w:rsidRPr="0048036A">
              <w:rPr>
                <w:b/>
                <w:lang w:val="en-US"/>
              </w:rPr>
              <w:t>Silo</w:t>
            </w:r>
          </w:p>
        </w:tc>
      </w:tr>
      <w:tr w:rsidR="0048036A" w:rsidRPr="0048036A" w14:paraId="096D811C" w14:textId="77777777" w:rsidTr="0048036A">
        <w:trPr>
          <w:trHeight w:val="971"/>
          <w:tblCellSpacing w:w="1440" w:type="nil"/>
        </w:trPr>
        <w:tc>
          <w:tcPr>
            <w:tcW w:w="4507" w:type="dxa"/>
          </w:tcPr>
          <w:p w14:paraId="73BDE0C1" w14:textId="77777777" w:rsidR="0048036A" w:rsidRPr="0048036A" w:rsidRDefault="0048036A" w:rsidP="0048036A">
            <w:pPr>
              <w:rPr>
                <w:b/>
                <w:lang w:val="en-US"/>
              </w:rPr>
            </w:pPr>
            <w:r w:rsidRPr="0048036A">
              <w:rPr>
                <w:b/>
                <w:lang w:val="en-US"/>
              </w:rPr>
              <w:t>GLOBALG.A.P. Integrated Farm Assurance (SMART or GFS)</w:t>
            </w:r>
          </w:p>
        </w:tc>
        <w:tc>
          <w:tcPr>
            <w:tcW w:w="1418" w:type="dxa"/>
          </w:tcPr>
          <w:p w14:paraId="5E834BC2" w14:textId="77777777" w:rsidR="0048036A" w:rsidRPr="0048036A" w:rsidRDefault="0048036A" w:rsidP="0048036A">
            <w:pPr>
              <w:rPr>
                <w:b/>
                <w:lang w:val="en-US"/>
              </w:rPr>
            </w:pPr>
          </w:p>
          <w:p w14:paraId="6DFE39A0" w14:textId="77777777" w:rsidR="0048036A" w:rsidRPr="0048036A" w:rsidRDefault="0048036A" w:rsidP="0048036A">
            <w:pPr>
              <w:rPr>
                <w:b/>
                <w:lang w:val="en-US"/>
              </w:rPr>
            </w:pPr>
            <w:r w:rsidRPr="0048036A">
              <w:rPr>
                <w:b/>
                <w:lang w:val="en-US"/>
              </w:rPr>
              <w:t>√</w:t>
            </w:r>
          </w:p>
        </w:tc>
        <w:tc>
          <w:tcPr>
            <w:tcW w:w="1275" w:type="dxa"/>
          </w:tcPr>
          <w:p w14:paraId="05575DAB" w14:textId="77777777" w:rsidR="0048036A" w:rsidRPr="0048036A" w:rsidRDefault="0048036A" w:rsidP="0048036A">
            <w:pPr>
              <w:rPr>
                <w:lang w:val="en-US"/>
              </w:rPr>
            </w:pPr>
          </w:p>
          <w:p w14:paraId="03B112C9" w14:textId="77777777" w:rsidR="0048036A" w:rsidRPr="0048036A" w:rsidRDefault="0048036A" w:rsidP="0048036A">
            <w:pPr>
              <w:rPr>
                <w:lang w:val="en-US"/>
              </w:rPr>
            </w:pPr>
            <w:r w:rsidRPr="0048036A">
              <w:rPr>
                <w:lang w:val="en-US"/>
              </w:rPr>
              <w:t>√</w:t>
            </w:r>
          </w:p>
        </w:tc>
        <w:tc>
          <w:tcPr>
            <w:tcW w:w="1199" w:type="dxa"/>
          </w:tcPr>
          <w:p w14:paraId="631FC653" w14:textId="77777777" w:rsidR="0048036A" w:rsidRPr="0048036A" w:rsidRDefault="0048036A" w:rsidP="0048036A">
            <w:pPr>
              <w:rPr>
                <w:lang w:val="en-US"/>
              </w:rPr>
            </w:pPr>
          </w:p>
          <w:p w14:paraId="55084806" w14:textId="77777777" w:rsidR="0048036A" w:rsidRPr="0048036A" w:rsidRDefault="0048036A" w:rsidP="0048036A">
            <w:pPr>
              <w:rPr>
                <w:lang w:val="en-US"/>
              </w:rPr>
            </w:pPr>
            <w:r w:rsidRPr="0048036A">
              <w:rPr>
                <w:lang w:val="en-US"/>
              </w:rPr>
              <w:t>√(*)</w:t>
            </w:r>
          </w:p>
        </w:tc>
        <w:tc>
          <w:tcPr>
            <w:tcW w:w="1410" w:type="dxa"/>
          </w:tcPr>
          <w:p w14:paraId="39C00145" w14:textId="77777777" w:rsidR="0048036A" w:rsidRPr="0048036A" w:rsidRDefault="0048036A" w:rsidP="0048036A">
            <w:pPr>
              <w:rPr>
                <w:lang w:val="en-US"/>
              </w:rPr>
            </w:pPr>
          </w:p>
        </w:tc>
        <w:tc>
          <w:tcPr>
            <w:tcW w:w="1106" w:type="dxa"/>
          </w:tcPr>
          <w:p w14:paraId="15FD8DE9" w14:textId="77777777" w:rsidR="0048036A" w:rsidRPr="0048036A" w:rsidRDefault="0048036A" w:rsidP="0048036A">
            <w:pPr>
              <w:rPr>
                <w:lang w:val="en-US"/>
              </w:rPr>
            </w:pPr>
          </w:p>
        </w:tc>
        <w:tc>
          <w:tcPr>
            <w:tcW w:w="1271" w:type="dxa"/>
          </w:tcPr>
          <w:p w14:paraId="3B39CEF4" w14:textId="77777777" w:rsidR="0048036A" w:rsidRPr="0048036A" w:rsidRDefault="0048036A" w:rsidP="0048036A">
            <w:pPr>
              <w:rPr>
                <w:lang w:val="en-US"/>
              </w:rPr>
            </w:pPr>
          </w:p>
        </w:tc>
        <w:tc>
          <w:tcPr>
            <w:tcW w:w="1414" w:type="dxa"/>
          </w:tcPr>
          <w:p w14:paraId="33C54008" w14:textId="77777777" w:rsidR="0048036A" w:rsidRPr="0048036A" w:rsidRDefault="0048036A" w:rsidP="0048036A">
            <w:pPr>
              <w:rPr>
                <w:lang w:val="en-US"/>
              </w:rPr>
            </w:pPr>
          </w:p>
        </w:tc>
        <w:tc>
          <w:tcPr>
            <w:tcW w:w="852" w:type="dxa"/>
          </w:tcPr>
          <w:p w14:paraId="31364122" w14:textId="77777777" w:rsidR="0048036A" w:rsidRPr="0048036A" w:rsidRDefault="0048036A" w:rsidP="0048036A">
            <w:pPr>
              <w:rPr>
                <w:lang w:val="en-US"/>
              </w:rPr>
            </w:pPr>
          </w:p>
        </w:tc>
      </w:tr>
      <w:tr w:rsidR="0048036A" w:rsidRPr="0048036A" w14:paraId="0958CF06" w14:textId="77777777" w:rsidTr="007A6852">
        <w:trPr>
          <w:trHeight w:val="1122"/>
          <w:tblCellSpacing w:w="1440" w:type="nil"/>
        </w:trPr>
        <w:tc>
          <w:tcPr>
            <w:tcW w:w="4507" w:type="dxa"/>
          </w:tcPr>
          <w:p w14:paraId="6E6A63E6" w14:textId="77777777" w:rsidR="0048036A" w:rsidRPr="0048036A" w:rsidRDefault="0048036A" w:rsidP="0048036A">
            <w:pPr>
              <w:rPr>
                <w:b/>
                <w:lang w:val="en-US"/>
              </w:rPr>
            </w:pPr>
            <w:r w:rsidRPr="0048036A">
              <w:rPr>
                <w:b/>
                <w:lang w:val="en-US"/>
              </w:rPr>
              <w:t xml:space="preserve">HACCP (with a </w:t>
            </w:r>
            <w:smartTag w:uri="urn:schemas-microsoft-com:office:smarttags" w:element="stockticker">
              <w:r w:rsidRPr="0048036A">
                <w:rPr>
                  <w:b/>
                  <w:lang w:val="en-US"/>
                </w:rPr>
                <w:t>GMP</w:t>
              </w:r>
            </w:smartTag>
            <w:r w:rsidRPr="0048036A">
              <w:rPr>
                <w:b/>
                <w:lang w:val="en-US"/>
              </w:rPr>
              <w:t xml:space="preserve"> basis hygiene requirements)</w:t>
            </w:r>
          </w:p>
          <w:p w14:paraId="02876971" w14:textId="77777777" w:rsidR="0048036A" w:rsidRPr="0048036A" w:rsidRDefault="0048036A" w:rsidP="0048036A">
            <w:pPr>
              <w:rPr>
                <w:b/>
                <w:lang w:val="en-US"/>
              </w:rPr>
            </w:pPr>
            <w:r w:rsidRPr="0048036A">
              <w:rPr>
                <w:b/>
                <w:lang w:val="en-US"/>
              </w:rPr>
              <w:t xml:space="preserve">SANS 10049 (Pre-requisite </w:t>
            </w:r>
            <w:proofErr w:type="spellStart"/>
            <w:r w:rsidRPr="0048036A">
              <w:rPr>
                <w:b/>
                <w:lang w:val="en-US"/>
              </w:rPr>
              <w:t>programme</w:t>
            </w:r>
            <w:proofErr w:type="spellEnd"/>
            <w:r w:rsidRPr="0048036A">
              <w:rPr>
                <w:b/>
                <w:lang w:val="en-US"/>
              </w:rPr>
              <w:t xml:space="preserve"> requirements)</w:t>
            </w:r>
          </w:p>
        </w:tc>
        <w:tc>
          <w:tcPr>
            <w:tcW w:w="1418" w:type="dxa"/>
          </w:tcPr>
          <w:p w14:paraId="1FE4C355" w14:textId="77777777" w:rsidR="0048036A" w:rsidRPr="0048036A" w:rsidRDefault="0048036A" w:rsidP="0048036A">
            <w:pPr>
              <w:rPr>
                <w:lang w:val="en-US"/>
              </w:rPr>
            </w:pPr>
          </w:p>
        </w:tc>
        <w:tc>
          <w:tcPr>
            <w:tcW w:w="1275" w:type="dxa"/>
          </w:tcPr>
          <w:p w14:paraId="2915CDFF" w14:textId="77777777" w:rsidR="0048036A" w:rsidRPr="0048036A" w:rsidRDefault="0048036A" w:rsidP="0048036A">
            <w:pPr>
              <w:rPr>
                <w:lang w:val="en-US"/>
              </w:rPr>
            </w:pPr>
          </w:p>
          <w:p w14:paraId="448C862E" w14:textId="77777777" w:rsidR="0048036A" w:rsidRPr="0048036A" w:rsidRDefault="0048036A" w:rsidP="0048036A">
            <w:pPr>
              <w:rPr>
                <w:lang w:val="en-US"/>
              </w:rPr>
            </w:pPr>
            <w:r w:rsidRPr="0048036A">
              <w:rPr>
                <w:lang w:val="en-US"/>
              </w:rPr>
              <w:t>√</w:t>
            </w:r>
          </w:p>
        </w:tc>
        <w:tc>
          <w:tcPr>
            <w:tcW w:w="1199" w:type="dxa"/>
          </w:tcPr>
          <w:p w14:paraId="69975C79" w14:textId="77777777" w:rsidR="0048036A" w:rsidRPr="0048036A" w:rsidRDefault="0048036A" w:rsidP="0048036A">
            <w:pPr>
              <w:rPr>
                <w:lang w:val="en-US"/>
              </w:rPr>
            </w:pPr>
          </w:p>
          <w:p w14:paraId="6EC3720F" w14:textId="77777777" w:rsidR="0048036A" w:rsidRPr="0048036A" w:rsidRDefault="0048036A" w:rsidP="0048036A">
            <w:pPr>
              <w:rPr>
                <w:lang w:val="en-US"/>
              </w:rPr>
            </w:pPr>
            <w:r w:rsidRPr="0048036A">
              <w:rPr>
                <w:lang w:val="en-US"/>
              </w:rPr>
              <w:t>√</w:t>
            </w:r>
          </w:p>
        </w:tc>
        <w:tc>
          <w:tcPr>
            <w:tcW w:w="1410" w:type="dxa"/>
          </w:tcPr>
          <w:p w14:paraId="01C55325" w14:textId="77777777" w:rsidR="0048036A" w:rsidRPr="0048036A" w:rsidRDefault="0048036A" w:rsidP="0048036A">
            <w:pPr>
              <w:rPr>
                <w:lang w:val="en-US"/>
              </w:rPr>
            </w:pPr>
          </w:p>
          <w:p w14:paraId="0A136E3D" w14:textId="77777777" w:rsidR="0048036A" w:rsidRPr="0048036A" w:rsidRDefault="0048036A" w:rsidP="0048036A">
            <w:pPr>
              <w:rPr>
                <w:lang w:val="en-US"/>
              </w:rPr>
            </w:pPr>
            <w:r w:rsidRPr="0048036A">
              <w:rPr>
                <w:lang w:val="en-US"/>
              </w:rPr>
              <w:t>√</w:t>
            </w:r>
          </w:p>
          <w:p w14:paraId="2678CBB1" w14:textId="77777777" w:rsidR="0048036A" w:rsidRPr="0048036A" w:rsidRDefault="0048036A" w:rsidP="0048036A">
            <w:pPr>
              <w:rPr>
                <w:lang w:val="en-US"/>
              </w:rPr>
            </w:pPr>
          </w:p>
        </w:tc>
        <w:tc>
          <w:tcPr>
            <w:tcW w:w="1106" w:type="dxa"/>
          </w:tcPr>
          <w:p w14:paraId="2667B405" w14:textId="77777777" w:rsidR="0048036A" w:rsidRPr="0048036A" w:rsidRDefault="0048036A" w:rsidP="0048036A">
            <w:pPr>
              <w:rPr>
                <w:lang w:val="en-US"/>
              </w:rPr>
            </w:pPr>
          </w:p>
          <w:p w14:paraId="7371FDB1" w14:textId="77777777" w:rsidR="0048036A" w:rsidRPr="0048036A" w:rsidRDefault="0048036A" w:rsidP="0048036A">
            <w:pPr>
              <w:rPr>
                <w:lang w:val="en-US"/>
              </w:rPr>
            </w:pPr>
            <w:r w:rsidRPr="0048036A">
              <w:rPr>
                <w:lang w:val="en-US"/>
              </w:rPr>
              <w:t>√</w:t>
            </w:r>
          </w:p>
        </w:tc>
        <w:tc>
          <w:tcPr>
            <w:tcW w:w="1271" w:type="dxa"/>
          </w:tcPr>
          <w:p w14:paraId="65876B0F" w14:textId="77777777" w:rsidR="0048036A" w:rsidRPr="0048036A" w:rsidRDefault="0048036A" w:rsidP="0048036A">
            <w:pPr>
              <w:rPr>
                <w:lang w:val="en-US"/>
              </w:rPr>
            </w:pPr>
          </w:p>
          <w:p w14:paraId="1723046E" w14:textId="77777777" w:rsidR="0048036A" w:rsidRPr="0048036A" w:rsidRDefault="0048036A" w:rsidP="0048036A">
            <w:pPr>
              <w:rPr>
                <w:lang w:val="en-US"/>
              </w:rPr>
            </w:pPr>
            <w:r w:rsidRPr="0048036A">
              <w:rPr>
                <w:lang w:val="en-US"/>
              </w:rPr>
              <w:t>√</w:t>
            </w:r>
          </w:p>
        </w:tc>
        <w:tc>
          <w:tcPr>
            <w:tcW w:w="1414" w:type="dxa"/>
          </w:tcPr>
          <w:p w14:paraId="4B5D2343" w14:textId="77777777" w:rsidR="0048036A" w:rsidRPr="0048036A" w:rsidRDefault="0048036A" w:rsidP="0048036A">
            <w:pPr>
              <w:rPr>
                <w:lang w:val="en-US"/>
              </w:rPr>
            </w:pPr>
          </w:p>
          <w:p w14:paraId="4F1EA5E5" w14:textId="77777777" w:rsidR="0048036A" w:rsidRPr="0048036A" w:rsidRDefault="0048036A" w:rsidP="0048036A">
            <w:pPr>
              <w:rPr>
                <w:lang w:val="en-US"/>
              </w:rPr>
            </w:pPr>
            <w:r w:rsidRPr="0048036A">
              <w:rPr>
                <w:lang w:val="en-US"/>
              </w:rPr>
              <w:t>√</w:t>
            </w:r>
          </w:p>
        </w:tc>
        <w:tc>
          <w:tcPr>
            <w:tcW w:w="852" w:type="dxa"/>
          </w:tcPr>
          <w:p w14:paraId="5414805B" w14:textId="77777777" w:rsidR="0048036A" w:rsidRPr="0048036A" w:rsidRDefault="0048036A" w:rsidP="0048036A">
            <w:pPr>
              <w:rPr>
                <w:lang w:val="en-US"/>
              </w:rPr>
            </w:pPr>
          </w:p>
          <w:p w14:paraId="318D007F" w14:textId="77777777" w:rsidR="0048036A" w:rsidRPr="0048036A" w:rsidRDefault="0048036A" w:rsidP="0048036A">
            <w:pPr>
              <w:rPr>
                <w:lang w:val="en-US"/>
              </w:rPr>
            </w:pPr>
            <w:r w:rsidRPr="0048036A">
              <w:rPr>
                <w:lang w:val="en-US"/>
              </w:rPr>
              <w:t>√</w:t>
            </w:r>
          </w:p>
        </w:tc>
      </w:tr>
      <w:tr w:rsidR="0048036A" w:rsidRPr="0048036A" w14:paraId="4A02DF06" w14:textId="77777777" w:rsidTr="0048036A">
        <w:trPr>
          <w:trHeight w:val="320"/>
          <w:tblCellSpacing w:w="1440" w:type="nil"/>
        </w:trPr>
        <w:tc>
          <w:tcPr>
            <w:tcW w:w="4507" w:type="dxa"/>
            <w:tcBorders>
              <w:bottom w:val="single" w:sz="4" w:space="0" w:color="auto"/>
            </w:tcBorders>
          </w:tcPr>
          <w:p w14:paraId="4B62E5D3" w14:textId="77777777" w:rsidR="0048036A" w:rsidRPr="0048036A" w:rsidRDefault="0048036A" w:rsidP="0048036A">
            <w:pPr>
              <w:rPr>
                <w:b/>
                <w:lang w:val="en-US"/>
              </w:rPr>
            </w:pPr>
            <w:r w:rsidRPr="0048036A">
              <w:rPr>
                <w:b/>
                <w:lang w:val="en-US"/>
              </w:rPr>
              <w:t>BRCGS (Brand Reputation Compliance Global Standards)</w:t>
            </w:r>
          </w:p>
        </w:tc>
        <w:tc>
          <w:tcPr>
            <w:tcW w:w="1418" w:type="dxa"/>
            <w:tcBorders>
              <w:bottom w:val="single" w:sz="4" w:space="0" w:color="auto"/>
            </w:tcBorders>
          </w:tcPr>
          <w:p w14:paraId="2C17B22F" w14:textId="77777777" w:rsidR="0048036A" w:rsidRPr="0048036A" w:rsidRDefault="0048036A" w:rsidP="0048036A">
            <w:pPr>
              <w:rPr>
                <w:lang w:val="en-US"/>
              </w:rPr>
            </w:pPr>
          </w:p>
        </w:tc>
        <w:tc>
          <w:tcPr>
            <w:tcW w:w="1275" w:type="dxa"/>
            <w:tcBorders>
              <w:bottom w:val="single" w:sz="4" w:space="0" w:color="auto"/>
            </w:tcBorders>
          </w:tcPr>
          <w:p w14:paraId="4F74A21F" w14:textId="77777777" w:rsidR="0048036A" w:rsidRPr="0048036A" w:rsidRDefault="0048036A" w:rsidP="0048036A">
            <w:pPr>
              <w:rPr>
                <w:lang w:val="en-US"/>
              </w:rPr>
            </w:pPr>
            <w:r w:rsidRPr="0048036A">
              <w:rPr>
                <w:lang w:val="en-US"/>
              </w:rPr>
              <w:t>√</w:t>
            </w:r>
          </w:p>
        </w:tc>
        <w:tc>
          <w:tcPr>
            <w:tcW w:w="1199" w:type="dxa"/>
            <w:tcBorders>
              <w:bottom w:val="single" w:sz="4" w:space="0" w:color="auto"/>
            </w:tcBorders>
          </w:tcPr>
          <w:p w14:paraId="6478F75E" w14:textId="77777777" w:rsidR="0048036A" w:rsidRPr="0048036A" w:rsidRDefault="0048036A" w:rsidP="0048036A">
            <w:pPr>
              <w:rPr>
                <w:lang w:val="en-US"/>
              </w:rPr>
            </w:pPr>
            <w:r w:rsidRPr="0048036A">
              <w:rPr>
                <w:lang w:val="en-US"/>
              </w:rPr>
              <w:t>√</w:t>
            </w:r>
          </w:p>
        </w:tc>
        <w:tc>
          <w:tcPr>
            <w:tcW w:w="1410" w:type="dxa"/>
            <w:tcBorders>
              <w:bottom w:val="single" w:sz="4" w:space="0" w:color="auto"/>
            </w:tcBorders>
          </w:tcPr>
          <w:p w14:paraId="6FB60777" w14:textId="77777777" w:rsidR="0048036A" w:rsidRPr="0048036A" w:rsidRDefault="0048036A" w:rsidP="0048036A">
            <w:pPr>
              <w:rPr>
                <w:lang w:val="en-US"/>
              </w:rPr>
            </w:pPr>
            <w:r w:rsidRPr="0048036A">
              <w:rPr>
                <w:lang w:val="en-US"/>
              </w:rPr>
              <w:t>√</w:t>
            </w:r>
          </w:p>
        </w:tc>
        <w:tc>
          <w:tcPr>
            <w:tcW w:w="1106" w:type="dxa"/>
            <w:tcBorders>
              <w:bottom w:val="single" w:sz="4" w:space="0" w:color="auto"/>
            </w:tcBorders>
          </w:tcPr>
          <w:p w14:paraId="58D4CD37" w14:textId="77777777" w:rsidR="0048036A" w:rsidRPr="0048036A" w:rsidRDefault="0048036A" w:rsidP="0048036A">
            <w:pPr>
              <w:rPr>
                <w:lang w:val="en-US"/>
              </w:rPr>
            </w:pPr>
            <w:r w:rsidRPr="0048036A">
              <w:rPr>
                <w:lang w:val="en-US"/>
              </w:rPr>
              <w:t>√</w:t>
            </w:r>
          </w:p>
        </w:tc>
        <w:tc>
          <w:tcPr>
            <w:tcW w:w="1271" w:type="dxa"/>
            <w:tcBorders>
              <w:bottom w:val="single" w:sz="4" w:space="0" w:color="auto"/>
            </w:tcBorders>
          </w:tcPr>
          <w:p w14:paraId="604EBE3A" w14:textId="77777777" w:rsidR="0048036A" w:rsidRPr="0048036A" w:rsidRDefault="0048036A" w:rsidP="0048036A">
            <w:pPr>
              <w:rPr>
                <w:lang w:val="en-US"/>
              </w:rPr>
            </w:pPr>
            <w:r w:rsidRPr="0048036A">
              <w:rPr>
                <w:lang w:val="en-US"/>
              </w:rPr>
              <w:t>√</w:t>
            </w:r>
          </w:p>
        </w:tc>
        <w:tc>
          <w:tcPr>
            <w:tcW w:w="1414" w:type="dxa"/>
            <w:tcBorders>
              <w:bottom w:val="single" w:sz="4" w:space="0" w:color="auto"/>
            </w:tcBorders>
          </w:tcPr>
          <w:p w14:paraId="29ABA8E2" w14:textId="77777777" w:rsidR="0048036A" w:rsidRPr="0048036A" w:rsidRDefault="0048036A" w:rsidP="0048036A">
            <w:pPr>
              <w:rPr>
                <w:lang w:val="en-US"/>
              </w:rPr>
            </w:pPr>
            <w:r w:rsidRPr="0048036A">
              <w:rPr>
                <w:lang w:val="en-US"/>
              </w:rPr>
              <w:t>√</w:t>
            </w:r>
          </w:p>
        </w:tc>
        <w:tc>
          <w:tcPr>
            <w:tcW w:w="852" w:type="dxa"/>
            <w:tcBorders>
              <w:bottom w:val="single" w:sz="4" w:space="0" w:color="auto"/>
            </w:tcBorders>
          </w:tcPr>
          <w:p w14:paraId="3292EFB6" w14:textId="77777777" w:rsidR="0048036A" w:rsidRPr="0048036A" w:rsidRDefault="0048036A" w:rsidP="0048036A">
            <w:pPr>
              <w:rPr>
                <w:lang w:val="en-US"/>
              </w:rPr>
            </w:pPr>
            <w:r w:rsidRPr="0048036A">
              <w:rPr>
                <w:lang w:val="en-US"/>
              </w:rPr>
              <w:t>√</w:t>
            </w:r>
          </w:p>
        </w:tc>
      </w:tr>
      <w:tr w:rsidR="0048036A" w:rsidRPr="0048036A" w14:paraId="55B5639A" w14:textId="77777777" w:rsidTr="0048036A">
        <w:trPr>
          <w:trHeight w:val="90"/>
          <w:tblCellSpacing w:w="1440" w:type="nil"/>
        </w:trPr>
        <w:tc>
          <w:tcPr>
            <w:tcW w:w="4507" w:type="dxa"/>
            <w:tcBorders>
              <w:top w:val="single" w:sz="4" w:space="0" w:color="auto"/>
            </w:tcBorders>
          </w:tcPr>
          <w:p w14:paraId="18252953" w14:textId="77777777" w:rsidR="0048036A" w:rsidRPr="0048036A" w:rsidRDefault="0048036A" w:rsidP="0048036A">
            <w:pPr>
              <w:rPr>
                <w:b/>
                <w:lang w:val="en-US"/>
              </w:rPr>
            </w:pPr>
            <w:r w:rsidRPr="0048036A">
              <w:rPr>
                <w:b/>
                <w:lang w:val="en-US"/>
              </w:rPr>
              <w:t>Other Global Food Safety Initiative (GFSI) benchmarked standards (</w:t>
            </w:r>
            <w:proofErr w:type="spellStart"/>
            <w:r w:rsidRPr="0048036A">
              <w:rPr>
                <w:b/>
                <w:lang w:val="en-US"/>
              </w:rPr>
              <w:t>e.g</w:t>
            </w:r>
            <w:proofErr w:type="spellEnd"/>
            <w:r w:rsidRPr="0048036A">
              <w:rPr>
                <w:b/>
                <w:lang w:val="en-US"/>
              </w:rPr>
              <w:t xml:space="preserve"> </w:t>
            </w:r>
            <w:proofErr w:type="gramStart"/>
            <w:r w:rsidRPr="0048036A">
              <w:rPr>
                <w:b/>
                <w:lang w:val="en-US"/>
              </w:rPr>
              <w:t>GLOBALG.A.P</w:t>
            </w:r>
            <w:proofErr w:type="gramEnd"/>
            <w:r w:rsidRPr="0048036A">
              <w:rPr>
                <w:b/>
                <w:lang w:val="en-US"/>
              </w:rPr>
              <w:t>, Produce Handling Assurance, FSSC 22000 and IFS)</w:t>
            </w:r>
          </w:p>
        </w:tc>
        <w:tc>
          <w:tcPr>
            <w:tcW w:w="1418" w:type="dxa"/>
            <w:tcBorders>
              <w:top w:val="single" w:sz="4" w:space="0" w:color="auto"/>
            </w:tcBorders>
          </w:tcPr>
          <w:p w14:paraId="64AF0C86" w14:textId="77777777" w:rsidR="0048036A" w:rsidRPr="0048036A" w:rsidRDefault="0048036A" w:rsidP="0048036A">
            <w:pPr>
              <w:rPr>
                <w:lang w:val="en-US"/>
              </w:rPr>
            </w:pPr>
          </w:p>
        </w:tc>
        <w:tc>
          <w:tcPr>
            <w:tcW w:w="1275" w:type="dxa"/>
            <w:tcBorders>
              <w:top w:val="single" w:sz="4" w:space="0" w:color="auto"/>
            </w:tcBorders>
          </w:tcPr>
          <w:p w14:paraId="2A805370" w14:textId="77777777" w:rsidR="0048036A" w:rsidRPr="0048036A" w:rsidRDefault="0048036A" w:rsidP="0048036A">
            <w:pPr>
              <w:rPr>
                <w:lang w:val="en-US"/>
              </w:rPr>
            </w:pPr>
          </w:p>
          <w:p w14:paraId="180DB29A" w14:textId="77777777" w:rsidR="0048036A" w:rsidRPr="0048036A" w:rsidRDefault="0048036A" w:rsidP="0048036A">
            <w:pPr>
              <w:rPr>
                <w:lang w:val="en-US"/>
              </w:rPr>
            </w:pPr>
            <w:r w:rsidRPr="0048036A">
              <w:rPr>
                <w:lang w:val="en-US"/>
              </w:rPr>
              <w:t>√</w:t>
            </w:r>
          </w:p>
        </w:tc>
        <w:tc>
          <w:tcPr>
            <w:tcW w:w="1199" w:type="dxa"/>
            <w:tcBorders>
              <w:top w:val="single" w:sz="4" w:space="0" w:color="auto"/>
            </w:tcBorders>
          </w:tcPr>
          <w:p w14:paraId="60897949" w14:textId="77777777" w:rsidR="0048036A" w:rsidRPr="0048036A" w:rsidRDefault="0048036A" w:rsidP="0048036A">
            <w:pPr>
              <w:rPr>
                <w:lang w:val="en-US"/>
              </w:rPr>
            </w:pPr>
          </w:p>
          <w:p w14:paraId="14FEE054" w14:textId="77777777" w:rsidR="0048036A" w:rsidRPr="0048036A" w:rsidRDefault="0048036A" w:rsidP="0048036A">
            <w:pPr>
              <w:rPr>
                <w:lang w:val="en-US"/>
              </w:rPr>
            </w:pPr>
            <w:r w:rsidRPr="0048036A">
              <w:rPr>
                <w:lang w:val="en-US"/>
              </w:rPr>
              <w:t>√</w:t>
            </w:r>
          </w:p>
        </w:tc>
        <w:tc>
          <w:tcPr>
            <w:tcW w:w="1410" w:type="dxa"/>
            <w:tcBorders>
              <w:top w:val="single" w:sz="4" w:space="0" w:color="auto"/>
            </w:tcBorders>
          </w:tcPr>
          <w:p w14:paraId="10F0C532" w14:textId="77777777" w:rsidR="0048036A" w:rsidRPr="0048036A" w:rsidRDefault="0048036A" w:rsidP="0048036A">
            <w:pPr>
              <w:rPr>
                <w:lang w:val="en-US"/>
              </w:rPr>
            </w:pPr>
          </w:p>
          <w:p w14:paraId="7FC9B7FF" w14:textId="77777777" w:rsidR="0048036A" w:rsidRPr="0048036A" w:rsidRDefault="0048036A" w:rsidP="0048036A">
            <w:pPr>
              <w:rPr>
                <w:lang w:val="en-US"/>
              </w:rPr>
            </w:pPr>
            <w:r w:rsidRPr="0048036A">
              <w:rPr>
                <w:lang w:val="en-US"/>
              </w:rPr>
              <w:t>√</w:t>
            </w:r>
          </w:p>
        </w:tc>
        <w:tc>
          <w:tcPr>
            <w:tcW w:w="1106" w:type="dxa"/>
            <w:tcBorders>
              <w:top w:val="single" w:sz="4" w:space="0" w:color="auto"/>
            </w:tcBorders>
          </w:tcPr>
          <w:p w14:paraId="78A4B19C" w14:textId="77777777" w:rsidR="0048036A" w:rsidRPr="0048036A" w:rsidRDefault="0048036A" w:rsidP="0048036A">
            <w:pPr>
              <w:rPr>
                <w:lang w:val="en-US"/>
              </w:rPr>
            </w:pPr>
          </w:p>
          <w:p w14:paraId="613EB72A" w14:textId="77777777" w:rsidR="0048036A" w:rsidRPr="0048036A" w:rsidRDefault="0048036A" w:rsidP="0048036A">
            <w:pPr>
              <w:rPr>
                <w:lang w:val="en-US"/>
              </w:rPr>
            </w:pPr>
            <w:r w:rsidRPr="0048036A">
              <w:rPr>
                <w:lang w:val="en-US"/>
              </w:rPr>
              <w:t>√</w:t>
            </w:r>
          </w:p>
        </w:tc>
        <w:tc>
          <w:tcPr>
            <w:tcW w:w="1271" w:type="dxa"/>
            <w:tcBorders>
              <w:top w:val="single" w:sz="4" w:space="0" w:color="auto"/>
            </w:tcBorders>
          </w:tcPr>
          <w:p w14:paraId="3E05AC16" w14:textId="77777777" w:rsidR="0048036A" w:rsidRPr="0048036A" w:rsidRDefault="0048036A" w:rsidP="0048036A">
            <w:pPr>
              <w:rPr>
                <w:lang w:val="en-US"/>
              </w:rPr>
            </w:pPr>
          </w:p>
          <w:p w14:paraId="7AA79C0F" w14:textId="77777777" w:rsidR="0048036A" w:rsidRPr="0048036A" w:rsidRDefault="0048036A" w:rsidP="0048036A">
            <w:pPr>
              <w:rPr>
                <w:lang w:val="en-US"/>
              </w:rPr>
            </w:pPr>
            <w:r w:rsidRPr="0048036A">
              <w:rPr>
                <w:lang w:val="en-US"/>
              </w:rPr>
              <w:t>√</w:t>
            </w:r>
          </w:p>
        </w:tc>
        <w:tc>
          <w:tcPr>
            <w:tcW w:w="1414" w:type="dxa"/>
            <w:tcBorders>
              <w:top w:val="single" w:sz="4" w:space="0" w:color="auto"/>
            </w:tcBorders>
          </w:tcPr>
          <w:p w14:paraId="0B1AE403" w14:textId="77777777" w:rsidR="0048036A" w:rsidRPr="0048036A" w:rsidRDefault="0048036A" w:rsidP="0048036A">
            <w:pPr>
              <w:rPr>
                <w:lang w:val="en-US"/>
              </w:rPr>
            </w:pPr>
          </w:p>
          <w:p w14:paraId="21AA049C" w14:textId="77777777" w:rsidR="0048036A" w:rsidRPr="0048036A" w:rsidRDefault="0048036A" w:rsidP="0048036A">
            <w:pPr>
              <w:rPr>
                <w:lang w:val="en-US"/>
              </w:rPr>
            </w:pPr>
            <w:r w:rsidRPr="0048036A">
              <w:rPr>
                <w:lang w:val="en-US"/>
              </w:rPr>
              <w:t>√</w:t>
            </w:r>
          </w:p>
        </w:tc>
        <w:tc>
          <w:tcPr>
            <w:tcW w:w="852" w:type="dxa"/>
            <w:tcBorders>
              <w:top w:val="single" w:sz="4" w:space="0" w:color="auto"/>
            </w:tcBorders>
          </w:tcPr>
          <w:p w14:paraId="127F8D05" w14:textId="77777777" w:rsidR="0048036A" w:rsidRPr="0048036A" w:rsidRDefault="0048036A" w:rsidP="0048036A">
            <w:pPr>
              <w:rPr>
                <w:lang w:val="en-US"/>
              </w:rPr>
            </w:pPr>
          </w:p>
          <w:p w14:paraId="4251C312" w14:textId="77777777" w:rsidR="0048036A" w:rsidRPr="0048036A" w:rsidRDefault="0048036A" w:rsidP="0048036A">
            <w:pPr>
              <w:rPr>
                <w:lang w:val="en-US"/>
              </w:rPr>
            </w:pPr>
            <w:r w:rsidRPr="0048036A">
              <w:rPr>
                <w:lang w:val="en-US"/>
              </w:rPr>
              <w:t>√</w:t>
            </w:r>
          </w:p>
        </w:tc>
      </w:tr>
      <w:tr w:rsidR="0048036A" w:rsidRPr="0048036A" w14:paraId="30502757" w14:textId="77777777" w:rsidTr="0048036A">
        <w:trPr>
          <w:trHeight w:val="340"/>
          <w:tblCellSpacing w:w="1440" w:type="nil"/>
        </w:trPr>
        <w:tc>
          <w:tcPr>
            <w:tcW w:w="4507" w:type="dxa"/>
            <w:tcBorders>
              <w:top w:val="single" w:sz="4" w:space="0" w:color="auto"/>
              <w:bottom w:val="single" w:sz="4" w:space="0" w:color="auto"/>
            </w:tcBorders>
          </w:tcPr>
          <w:p w14:paraId="60D06EB4" w14:textId="77777777" w:rsidR="0048036A" w:rsidRPr="0048036A" w:rsidRDefault="0048036A" w:rsidP="0048036A">
            <w:pPr>
              <w:rPr>
                <w:b/>
                <w:lang w:val="en-US"/>
              </w:rPr>
            </w:pPr>
            <w:r w:rsidRPr="0048036A">
              <w:rPr>
                <w:b/>
                <w:lang w:val="en-US"/>
              </w:rPr>
              <w:t>Woolworths Food Safety Standard</w:t>
            </w:r>
          </w:p>
        </w:tc>
        <w:tc>
          <w:tcPr>
            <w:tcW w:w="1418" w:type="dxa"/>
            <w:tcBorders>
              <w:top w:val="single" w:sz="4" w:space="0" w:color="auto"/>
            </w:tcBorders>
          </w:tcPr>
          <w:p w14:paraId="3733E51B" w14:textId="77777777" w:rsidR="0048036A" w:rsidRPr="0048036A" w:rsidRDefault="0048036A" w:rsidP="0048036A">
            <w:pPr>
              <w:rPr>
                <w:lang w:val="en-US"/>
              </w:rPr>
            </w:pPr>
          </w:p>
        </w:tc>
        <w:tc>
          <w:tcPr>
            <w:tcW w:w="1275" w:type="dxa"/>
            <w:tcBorders>
              <w:top w:val="single" w:sz="4" w:space="0" w:color="auto"/>
            </w:tcBorders>
          </w:tcPr>
          <w:p w14:paraId="7164FA86" w14:textId="77777777" w:rsidR="0048036A" w:rsidRPr="0048036A" w:rsidRDefault="0048036A" w:rsidP="0048036A">
            <w:pPr>
              <w:rPr>
                <w:lang w:val="en-US"/>
              </w:rPr>
            </w:pPr>
            <w:r w:rsidRPr="0048036A">
              <w:rPr>
                <w:lang w:val="en-US"/>
              </w:rPr>
              <w:t>√</w:t>
            </w:r>
          </w:p>
        </w:tc>
        <w:tc>
          <w:tcPr>
            <w:tcW w:w="1199" w:type="dxa"/>
            <w:tcBorders>
              <w:top w:val="single" w:sz="4" w:space="0" w:color="auto"/>
            </w:tcBorders>
          </w:tcPr>
          <w:p w14:paraId="762B4A21" w14:textId="77777777" w:rsidR="0048036A" w:rsidRPr="0048036A" w:rsidRDefault="0048036A" w:rsidP="0048036A">
            <w:pPr>
              <w:rPr>
                <w:lang w:val="en-US"/>
              </w:rPr>
            </w:pPr>
            <w:r w:rsidRPr="0048036A">
              <w:rPr>
                <w:lang w:val="en-US"/>
              </w:rPr>
              <w:t>√</w:t>
            </w:r>
          </w:p>
        </w:tc>
        <w:tc>
          <w:tcPr>
            <w:tcW w:w="1410" w:type="dxa"/>
            <w:tcBorders>
              <w:top w:val="single" w:sz="4" w:space="0" w:color="auto"/>
            </w:tcBorders>
          </w:tcPr>
          <w:p w14:paraId="0D2FD89E" w14:textId="77777777" w:rsidR="0048036A" w:rsidRPr="0048036A" w:rsidRDefault="0048036A" w:rsidP="0048036A">
            <w:pPr>
              <w:rPr>
                <w:lang w:val="en-US"/>
              </w:rPr>
            </w:pPr>
            <w:r w:rsidRPr="0048036A">
              <w:rPr>
                <w:lang w:val="en-US"/>
              </w:rPr>
              <w:t>√</w:t>
            </w:r>
          </w:p>
        </w:tc>
        <w:tc>
          <w:tcPr>
            <w:tcW w:w="1106" w:type="dxa"/>
            <w:tcBorders>
              <w:top w:val="single" w:sz="4" w:space="0" w:color="auto"/>
            </w:tcBorders>
          </w:tcPr>
          <w:p w14:paraId="3576BAFA" w14:textId="77777777" w:rsidR="0048036A" w:rsidRPr="0048036A" w:rsidRDefault="0048036A" w:rsidP="0048036A">
            <w:pPr>
              <w:rPr>
                <w:lang w:val="en-US"/>
              </w:rPr>
            </w:pPr>
            <w:r w:rsidRPr="0048036A">
              <w:rPr>
                <w:lang w:val="en-US"/>
              </w:rPr>
              <w:t>√</w:t>
            </w:r>
          </w:p>
        </w:tc>
        <w:tc>
          <w:tcPr>
            <w:tcW w:w="1271" w:type="dxa"/>
            <w:tcBorders>
              <w:top w:val="single" w:sz="4" w:space="0" w:color="auto"/>
            </w:tcBorders>
          </w:tcPr>
          <w:p w14:paraId="581CEA00" w14:textId="77777777" w:rsidR="0048036A" w:rsidRPr="0048036A" w:rsidRDefault="0048036A" w:rsidP="0048036A">
            <w:pPr>
              <w:rPr>
                <w:lang w:val="en-US"/>
              </w:rPr>
            </w:pPr>
            <w:r w:rsidRPr="0048036A">
              <w:rPr>
                <w:lang w:val="en-US"/>
              </w:rPr>
              <w:t>√</w:t>
            </w:r>
          </w:p>
        </w:tc>
        <w:tc>
          <w:tcPr>
            <w:tcW w:w="1414" w:type="dxa"/>
            <w:tcBorders>
              <w:top w:val="single" w:sz="4" w:space="0" w:color="auto"/>
            </w:tcBorders>
          </w:tcPr>
          <w:p w14:paraId="7843AD94" w14:textId="77777777" w:rsidR="0048036A" w:rsidRPr="0048036A" w:rsidRDefault="0048036A" w:rsidP="0048036A">
            <w:pPr>
              <w:rPr>
                <w:lang w:val="en-US"/>
              </w:rPr>
            </w:pPr>
            <w:r w:rsidRPr="0048036A">
              <w:rPr>
                <w:lang w:val="en-US"/>
              </w:rPr>
              <w:t>√</w:t>
            </w:r>
          </w:p>
        </w:tc>
        <w:tc>
          <w:tcPr>
            <w:tcW w:w="852" w:type="dxa"/>
            <w:tcBorders>
              <w:top w:val="single" w:sz="4" w:space="0" w:color="auto"/>
            </w:tcBorders>
          </w:tcPr>
          <w:p w14:paraId="2724229A" w14:textId="77777777" w:rsidR="0048036A" w:rsidRPr="0048036A" w:rsidRDefault="0048036A" w:rsidP="0048036A">
            <w:pPr>
              <w:rPr>
                <w:lang w:val="en-US"/>
              </w:rPr>
            </w:pPr>
            <w:r w:rsidRPr="0048036A">
              <w:rPr>
                <w:lang w:val="en-US"/>
              </w:rPr>
              <w:t>√</w:t>
            </w:r>
          </w:p>
        </w:tc>
      </w:tr>
      <w:tr w:rsidR="0048036A" w:rsidRPr="0048036A" w14:paraId="15C05F4D" w14:textId="77777777" w:rsidTr="0048036A">
        <w:trPr>
          <w:trHeight w:val="180"/>
          <w:tblCellSpacing w:w="1440" w:type="nil"/>
        </w:trPr>
        <w:tc>
          <w:tcPr>
            <w:tcW w:w="4507" w:type="dxa"/>
          </w:tcPr>
          <w:p w14:paraId="00BA340A" w14:textId="77777777" w:rsidR="0048036A" w:rsidRPr="0048036A" w:rsidRDefault="0048036A" w:rsidP="0048036A">
            <w:pPr>
              <w:rPr>
                <w:b/>
                <w:lang w:val="en-US"/>
              </w:rPr>
            </w:pPr>
            <w:r w:rsidRPr="0048036A">
              <w:rPr>
                <w:b/>
                <w:lang w:val="en-US"/>
              </w:rPr>
              <w:t xml:space="preserve">Pick &amp; Pay </w:t>
            </w:r>
            <w:smartTag w:uri="urn:schemas-microsoft-com:office:smarttags" w:element="stockticker">
              <w:r w:rsidRPr="0048036A">
                <w:rPr>
                  <w:b/>
                  <w:lang w:val="en-US"/>
                </w:rPr>
                <w:t>GAP</w:t>
              </w:r>
            </w:smartTag>
            <w:r w:rsidRPr="0048036A">
              <w:rPr>
                <w:b/>
                <w:lang w:val="en-US"/>
              </w:rPr>
              <w:t xml:space="preserve"> standard</w:t>
            </w:r>
          </w:p>
        </w:tc>
        <w:tc>
          <w:tcPr>
            <w:tcW w:w="1418" w:type="dxa"/>
          </w:tcPr>
          <w:p w14:paraId="5E548205" w14:textId="77777777" w:rsidR="0048036A" w:rsidRPr="0048036A" w:rsidRDefault="0048036A" w:rsidP="0048036A">
            <w:pPr>
              <w:rPr>
                <w:lang w:val="en-US"/>
              </w:rPr>
            </w:pPr>
            <w:r w:rsidRPr="0048036A">
              <w:rPr>
                <w:lang w:val="en-US"/>
              </w:rPr>
              <w:t>√</w:t>
            </w:r>
          </w:p>
        </w:tc>
        <w:tc>
          <w:tcPr>
            <w:tcW w:w="1275" w:type="dxa"/>
          </w:tcPr>
          <w:p w14:paraId="6B0CE718" w14:textId="77777777" w:rsidR="0048036A" w:rsidRPr="0048036A" w:rsidRDefault="0048036A" w:rsidP="0048036A">
            <w:pPr>
              <w:rPr>
                <w:lang w:val="en-US"/>
              </w:rPr>
            </w:pPr>
          </w:p>
        </w:tc>
        <w:tc>
          <w:tcPr>
            <w:tcW w:w="1199" w:type="dxa"/>
          </w:tcPr>
          <w:p w14:paraId="690A7D2D" w14:textId="77777777" w:rsidR="0048036A" w:rsidRPr="0048036A" w:rsidRDefault="0048036A" w:rsidP="0048036A">
            <w:pPr>
              <w:rPr>
                <w:lang w:val="en-US"/>
              </w:rPr>
            </w:pPr>
          </w:p>
        </w:tc>
        <w:tc>
          <w:tcPr>
            <w:tcW w:w="1410" w:type="dxa"/>
          </w:tcPr>
          <w:p w14:paraId="5271121F" w14:textId="77777777" w:rsidR="0048036A" w:rsidRPr="0048036A" w:rsidRDefault="0048036A" w:rsidP="0048036A">
            <w:pPr>
              <w:rPr>
                <w:lang w:val="en-US"/>
              </w:rPr>
            </w:pPr>
          </w:p>
        </w:tc>
        <w:tc>
          <w:tcPr>
            <w:tcW w:w="1106" w:type="dxa"/>
          </w:tcPr>
          <w:p w14:paraId="56D102E1" w14:textId="77777777" w:rsidR="0048036A" w:rsidRPr="0048036A" w:rsidRDefault="0048036A" w:rsidP="0048036A">
            <w:pPr>
              <w:rPr>
                <w:lang w:val="en-US"/>
              </w:rPr>
            </w:pPr>
          </w:p>
        </w:tc>
        <w:tc>
          <w:tcPr>
            <w:tcW w:w="1271" w:type="dxa"/>
          </w:tcPr>
          <w:p w14:paraId="2B6866DA" w14:textId="77777777" w:rsidR="0048036A" w:rsidRPr="0048036A" w:rsidRDefault="0048036A" w:rsidP="0048036A">
            <w:pPr>
              <w:rPr>
                <w:lang w:val="en-US"/>
              </w:rPr>
            </w:pPr>
          </w:p>
        </w:tc>
        <w:tc>
          <w:tcPr>
            <w:tcW w:w="1414" w:type="dxa"/>
          </w:tcPr>
          <w:p w14:paraId="5F3E8F5C" w14:textId="77777777" w:rsidR="0048036A" w:rsidRPr="0048036A" w:rsidRDefault="0048036A" w:rsidP="0048036A">
            <w:pPr>
              <w:rPr>
                <w:lang w:val="en-US"/>
              </w:rPr>
            </w:pPr>
          </w:p>
        </w:tc>
        <w:tc>
          <w:tcPr>
            <w:tcW w:w="852" w:type="dxa"/>
          </w:tcPr>
          <w:p w14:paraId="7E0EB846" w14:textId="77777777" w:rsidR="0048036A" w:rsidRPr="0048036A" w:rsidRDefault="0048036A" w:rsidP="0048036A">
            <w:pPr>
              <w:rPr>
                <w:lang w:val="en-US"/>
              </w:rPr>
            </w:pPr>
          </w:p>
        </w:tc>
      </w:tr>
      <w:tr w:rsidR="0048036A" w:rsidRPr="0048036A" w14:paraId="78319195" w14:textId="77777777" w:rsidTr="0048036A">
        <w:trPr>
          <w:trHeight w:val="180"/>
          <w:tblCellSpacing w:w="1440" w:type="nil"/>
        </w:trPr>
        <w:tc>
          <w:tcPr>
            <w:tcW w:w="4507" w:type="dxa"/>
          </w:tcPr>
          <w:p w14:paraId="0869BEF8" w14:textId="6175FFFF" w:rsidR="0048036A" w:rsidRPr="0048036A" w:rsidRDefault="0048036A" w:rsidP="0048036A">
            <w:pPr>
              <w:rPr>
                <w:b/>
                <w:lang w:val="en-US"/>
              </w:rPr>
            </w:pPr>
            <w:r w:rsidRPr="0048036A">
              <w:rPr>
                <w:b/>
                <w:lang w:val="en-US"/>
              </w:rPr>
              <w:t>Pick &amp; Pay Produce handling st</w:t>
            </w:r>
            <w:r>
              <w:rPr>
                <w:b/>
                <w:lang w:val="en-US"/>
              </w:rPr>
              <w:t>andard</w:t>
            </w:r>
          </w:p>
        </w:tc>
        <w:tc>
          <w:tcPr>
            <w:tcW w:w="1418" w:type="dxa"/>
          </w:tcPr>
          <w:p w14:paraId="5BCFE1EB" w14:textId="77777777" w:rsidR="0048036A" w:rsidRPr="0048036A" w:rsidRDefault="0048036A" w:rsidP="0048036A">
            <w:pPr>
              <w:rPr>
                <w:lang w:val="en-US"/>
              </w:rPr>
            </w:pPr>
          </w:p>
        </w:tc>
        <w:tc>
          <w:tcPr>
            <w:tcW w:w="1275" w:type="dxa"/>
          </w:tcPr>
          <w:p w14:paraId="10F1EAEA" w14:textId="77777777" w:rsidR="0048036A" w:rsidRPr="0048036A" w:rsidRDefault="0048036A" w:rsidP="0048036A">
            <w:pPr>
              <w:rPr>
                <w:lang w:val="en-US"/>
              </w:rPr>
            </w:pPr>
            <w:r w:rsidRPr="0048036A">
              <w:rPr>
                <w:lang w:val="en-US"/>
              </w:rPr>
              <w:t>√</w:t>
            </w:r>
          </w:p>
        </w:tc>
        <w:tc>
          <w:tcPr>
            <w:tcW w:w="1199" w:type="dxa"/>
          </w:tcPr>
          <w:p w14:paraId="130A54C7" w14:textId="77777777" w:rsidR="0048036A" w:rsidRPr="0048036A" w:rsidRDefault="0048036A" w:rsidP="0048036A">
            <w:pPr>
              <w:rPr>
                <w:lang w:val="en-US"/>
              </w:rPr>
            </w:pPr>
            <w:r w:rsidRPr="0048036A">
              <w:rPr>
                <w:lang w:val="en-US"/>
              </w:rPr>
              <w:t>√</w:t>
            </w:r>
          </w:p>
        </w:tc>
        <w:tc>
          <w:tcPr>
            <w:tcW w:w="1410" w:type="dxa"/>
          </w:tcPr>
          <w:p w14:paraId="0E631B3B" w14:textId="77777777" w:rsidR="0048036A" w:rsidRPr="0048036A" w:rsidRDefault="0048036A" w:rsidP="0048036A">
            <w:pPr>
              <w:rPr>
                <w:lang w:val="en-US"/>
              </w:rPr>
            </w:pPr>
          </w:p>
        </w:tc>
        <w:tc>
          <w:tcPr>
            <w:tcW w:w="1106" w:type="dxa"/>
          </w:tcPr>
          <w:p w14:paraId="0B185E1C" w14:textId="77777777" w:rsidR="0048036A" w:rsidRPr="0048036A" w:rsidRDefault="0048036A" w:rsidP="0048036A">
            <w:pPr>
              <w:rPr>
                <w:lang w:val="en-US"/>
              </w:rPr>
            </w:pPr>
          </w:p>
        </w:tc>
        <w:tc>
          <w:tcPr>
            <w:tcW w:w="1271" w:type="dxa"/>
          </w:tcPr>
          <w:p w14:paraId="40DF0A13" w14:textId="77777777" w:rsidR="0048036A" w:rsidRPr="0048036A" w:rsidRDefault="0048036A" w:rsidP="0048036A">
            <w:pPr>
              <w:rPr>
                <w:lang w:val="en-US"/>
              </w:rPr>
            </w:pPr>
          </w:p>
        </w:tc>
        <w:tc>
          <w:tcPr>
            <w:tcW w:w="1414" w:type="dxa"/>
          </w:tcPr>
          <w:p w14:paraId="479253B1" w14:textId="77777777" w:rsidR="0048036A" w:rsidRPr="0048036A" w:rsidRDefault="0048036A" w:rsidP="0048036A">
            <w:pPr>
              <w:rPr>
                <w:lang w:val="en-US"/>
              </w:rPr>
            </w:pPr>
          </w:p>
        </w:tc>
        <w:tc>
          <w:tcPr>
            <w:tcW w:w="852" w:type="dxa"/>
          </w:tcPr>
          <w:p w14:paraId="53A19081" w14:textId="77777777" w:rsidR="0048036A" w:rsidRPr="0048036A" w:rsidRDefault="0048036A" w:rsidP="0048036A">
            <w:pPr>
              <w:rPr>
                <w:lang w:val="en-US"/>
              </w:rPr>
            </w:pPr>
          </w:p>
        </w:tc>
      </w:tr>
    </w:tbl>
    <w:p w14:paraId="46610F7C" w14:textId="77777777" w:rsidR="005F5444" w:rsidRDefault="0048036A" w:rsidP="0048036A">
      <w:pPr>
        <w:rPr>
          <w:lang w:val="en-US"/>
        </w:rPr>
      </w:pPr>
      <w:r w:rsidRPr="0048036A">
        <w:rPr>
          <w:lang w:val="en-US"/>
        </w:rPr>
        <w:t>√ = Acceptable as low risk, and to qualify for provisional exemption from an official food safety and hygiene audit.</w:t>
      </w:r>
    </w:p>
    <w:p w14:paraId="1E18006C" w14:textId="0FA4F53E" w:rsidR="0048036A" w:rsidRPr="0048036A" w:rsidRDefault="007A6852" w:rsidP="0048036A">
      <w:pPr>
        <w:rPr>
          <w:lang w:val="en-US"/>
        </w:rPr>
      </w:pPr>
      <w:r>
        <w:rPr>
          <w:lang w:val="en-US"/>
        </w:rPr>
        <w:t xml:space="preserve"> </w:t>
      </w:r>
      <w:r w:rsidR="0048036A" w:rsidRPr="0048036A">
        <w:rPr>
          <w:lang w:val="en-US"/>
        </w:rPr>
        <w:t>(*) = only applicable to off-farm produce handling facilities linked to farms with GLOBAL G.A.P. certification for primary production, and not for commercial off-farm produce handling facilities with more than one farm associated with it.</w:t>
      </w:r>
    </w:p>
    <w:sectPr w:rsidR="0048036A" w:rsidRPr="0048036A" w:rsidSect="0048036A">
      <w:footerReference w:type="default" r:id="rId6"/>
      <w:endnotePr>
        <w:numFmt w:val="decimal"/>
      </w:endnotePr>
      <w:pgSz w:w="16838" w:h="11906" w:orient="landscape" w:code="9"/>
      <w:pgMar w:top="1134" w:right="1021" w:bottom="1418" w:left="1134" w:header="1021" w:footer="567" w:gutter="0"/>
      <w:pgNumType w:start="1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4849" w14:textId="77777777" w:rsidR="00501DD5" w:rsidRDefault="00501DD5" w:rsidP="0048036A">
      <w:pPr>
        <w:spacing w:after="0" w:line="240" w:lineRule="auto"/>
      </w:pPr>
      <w:r>
        <w:separator/>
      </w:r>
    </w:p>
  </w:endnote>
  <w:endnote w:type="continuationSeparator" w:id="0">
    <w:p w14:paraId="5715DB44" w14:textId="77777777" w:rsidR="00501DD5" w:rsidRDefault="00501DD5" w:rsidP="0048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4828" w14:textId="77777777" w:rsidR="005F5444" w:rsidRPr="005F5444" w:rsidRDefault="005F5444" w:rsidP="005F5444">
    <w:pPr>
      <w:pStyle w:val="Footer"/>
      <w:rPr>
        <w:b/>
        <w:bCs/>
      </w:rPr>
    </w:pPr>
    <w:r w:rsidRPr="005F5444">
      <w:rPr>
        <w:b/>
        <w:bCs/>
      </w:rPr>
      <w:t>Revision 06 February 2026</w:t>
    </w:r>
  </w:p>
  <w:p w14:paraId="059B1E7A" w14:textId="77777777" w:rsidR="005F5444" w:rsidRDefault="005F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7A77" w14:textId="77777777" w:rsidR="00501DD5" w:rsidRDefault="00501DD5" w:rsidP="0048036A">
      <w:pPr>
        <w:spacing w:after="0" w:line="240" w:lineRule="auto"/>
      </w:pPr>
      <w:r>
        <w:separator/>
      </w:r>
    </w:p>
  </w:footnote>
  <w:footnote w:type="continuationSeparator" w:id="0">
    <w:p w14:paraId="1C0710DD" w14:textId="77777777" w:rsidR="00501DD5" w:rsidRDefault="00501DD5" w:rsidP="00480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6A"/>
    <w:rsid w:val="0048036A"/>
    <w:rsid w:val="00501DD5"/>
    <w:rsid w:val="005F5444"/>
    <w:rsid w:val="007A1214"/>
    <w:rsid w:val="007A6852"/>
    <w:rsid w:val="00A513F4"/>
    <w:rsid w:val="00AA7DF3"/>
    <w:rsid w:val="00BE6C93"/>
    <w:rsid w:val="00C5614E"/>
    <w:rsid w:val="00C93730"/>
    <w:rsid w:val="00D04CA7"/>
    <w:rsid w:val="00E801BD"/>
    <w:rsid w:val="00FE7C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8FDD06"/>
  <w15:chartTrackingRefBased/>
  <w15:docId w15:val="{1ED0FF11-E4BF-4A7A-92D8-41160763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6A"/>
    <w:rPr>
      <w:rFonts w:eastAsiaTheme="majorEastAsia" w:cstheme="majorBidi"/>
      <w:color w:val="272727" w:themeColor="text1" w:themeTint="D8"/>
    </w:rPr>
  </w:style>
  <w:style w:type="paragraph" w:styleId="Title">
    <w:name w:val="Title"/>
    <w:basedOn w:val="Normal"/>
    <w:next w:val="Normal"/>
    <w:link w:val="TitleChar"/>
    <w:uiPriority w:val="10"/>
    <w:qFormat/>
    <w:rsid w:val="00480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36A"/>
    <w:pPr>
      <w:spacing w:before="160"/>
      <w:jc w:val="center"/>
    </w:pPr>
    <w:rPr>
      <w:i/>
      <w:iCs/>
      <w:color w:val="404040" w:themeColor="text1" w:themeTint="BF"/>
    </w:rPr>
  </w:style>
  <w:style w:type="character" w:customStyle="1" w:styleId="QuoteChar">
    <w:name w:val="Quote Char"/>
    <w:basedOn w:val="DefaultParagraphFont"/>
    <w:link w:val="Quote"/>
    <w:uiPriority w:val="29"/>
    <w:rsid w:val="0048036A"/>
    <w:rPr>
      <w:i/>
      <w:iCs/>
      <w:color w:val="404040" w:themeColor="text1" w:themeTint="BF"/>
    </w:rPr>
  </w:style>
  <w:style w:type="paragraph" w:styleId="ListParagraph">
    <w:name w:val="List Paragraph"/>
    <w:basedOn w:val="Normal"/>
    <w:uiPriority w:val="34"/>
    <w:qFormat/>
    <w:rsid w:val="0048036A"/>
    <w:pPr>
      <w:ind w:left="720"/>
      <w:contextualSpacing/>
    </w:pPr>
  </w:style>
  <w:style w:type="character" w:styleId="IntenseEmphasis">
    <w:name w:val="Intense Emphasis"/>
    <w:basedOn w:val="DefaultParagraphFont"/>
    <w:uiPriority w:val="21"/>
    <w:qFormat/>
    <w:rsid w:val="0048036A"/>
    <w:rPr>
      <w:i/>
      <w:iCs/>
      <w:color w:val="0F4761" w:themeColor="accent1" w:themeShade="BF"/>
    </w:rPr>
  </w:style>
  <w:style w:type="paragraph" w:styleId="IntenseQuote">
    <w:name w:val="Intense Quote"/>
    <w:basedOn w:val="Normal"/>
    <w:next w:val="Normal"/>
    <w:link w:val="IntenseQuoteChar"/>
    <w:uiPriority w:val="30"/>
    <w:qFormat/>
    <w:rsid w:val="00480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36A"/>
    <w:rPr>
      <w:i/>
      <w:iCs/>
      <w:color w:val="0F4761" w:themeColor="accent1" w:themeShade="BF"/>
    </w:rPr>
  </w:style>
  <w:style w:type="character" w:styleId="IntenseReference">
    <w:name w:val="Intense Reference"/>
    <w:basedOn w:val="DefaultParagraphFont"/>
    <w:uiPriority w:val="32"/>
    <w:qFormat/>
    <w:rsid w:val="0048036A"/>
    <w:rPr>
      <w:b/>
      <w:bCs/>
      <w:smallCaps/>
      <w:color w:val="0F4761" w:themeColor="accent1" w:themeShade="BF"/>
      <w:spacing w:val="5"/>
    </w:rPr>
  </w:style>
  <w:style w:type="paragraph" w:styleId="Header">
    <w:name w:val="header"/>
    <w:basedOn w:val="Normal"/>
    <w:link w:val="HeaderChar"/>
    <w:uiPriority w:val="99"/>
    <w:unhideWhenUsed/>
    <w:rsid w:val="00480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36A"/>
  </w:style>
  <w:style w:type="paragraph" w:styleId="Footer">
    <w:name w:val="footer"/>
    <w:basedOn w:val="Normal"/>
    <w:link w:val="FooterChar"/>
    <w:uiPriority w:val="99"/>
    <w:unhideWhenUsed/>
    <w:rsid w:val="00480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Makobe</dc:creator>
  <cp:keywords/>
  <dc:description/>
  <cp:lastModifiedBy>Caroline Makobe</cp:lastModifiedBy>
  <cp:revision>9</cp:revision>
  <dcterms:created xsi:type="dcterms:W3CDTF">2026-06-10T09:40:00Z</dcterms:created>
  <dcterms:modified xsi:type="dcterms:W3CDTF">2026-06-10T10:00:00Z</dcterms:modified>
</cp:coreProperties>
</file>