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color w:val="000000"/>
        </w:rPr>
        <w:t/>
      </w:r>
    </w:p>
    <w:p>
      <w:pPr>
        <w:bidi w:val="0"/>
      </w:pPr>
      <w:r>
        <w:t/>
      </w:r>
    </w:p>
    <w:tbl>
      <w:tblPr>
        <w:tblW w:w="72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705" w:type="dxa"/>
      </w:tblPr>
      <w:tblGrid>
        <w:gridCol w:w="1560"/>
        <w:gridCol w:w="1575"/>
        <w:gridCol w:w="4110"/>
      </w:tblGrid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pStyle w:val="23"/>
              <w:jc w:val="center"/>
              <w:bidi w:val="0"/>
              <w:spacing w:after="120"/>
            </w:pPr>
            <w:r>
              <w:rPr>
                <w:b w:val="0"/>
                <w:sz w:val="24"/>
              </w:rPr>
              <w:t/>
            </w:r>
          </w:p>
        </w:tc>
        <w:tc>
          <w:tcPr>
            <w:tcW w:w="5695" w:type="dxa"/>
            <w:gridSpan w:val="2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before="240"/>
            </w:pPr>
            <w:r>
              <w:rPr>
                <w:b/>
                <w:sz w:val="40"/>
              </w:rPr>
              <w:t>O</w:t>
            </w:r>
            <w:r>
              <w:rPr>
                <w:b/>
                <w:sz w:val="32"/>
              </w:rPr>
              <w:t>ESSKATTINGSKOMITEE</w:t>
            </w:r>
          </w:p>
          <w:p>
            <w:pPr>
              <w:jc w:val="center"/>
              <w:ind w:left="-90"/>
              <w:bidi w:val="0"/>
              <w:spacing w:lineRule="auto" w:line="312"/>
            </w:pPr>
            <w:r>
              <w:rPr>
                <w:b/>
                <w:sz w:val="32"/>
              </w:rPr>
              <w:t>VERGADERING DATUMS: 2010</w:t>
            </w:r>
          </w:p>
          <w:p>
            <w:pPr>
              <w:jc w:val="center"/>
              <w:ind w:left="-90"/>
              <w:bidi w:val="0"/>
              <w:spacing w:lineRule="auto" w:line="312"/>
            </w:pPr>
            <w:r>
              <w:rPr>
                <w:sz w:val="20"/>
              </w:rPr>
              <w:t>(Voorlopig)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lineRule="auto" w:line="312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JANUARIE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right="30"/>
              <w:bidi w:val="0"/>
              <w:spacing w:before="60" w:after="60"/>
            </w:pPr>
            <w:r>
              <w:rPr>
                <w:sz w:val="16"/>
              </w:rPr>
              <w:t>Donderdag, 21</w:t>
            </w:r>
            <w:r>
              <w:rPr>
                <w:vertAlign w:val="superscript"/>
                <w:sz w:val="16"/>
              </w:rPr>
              <w:t>ste</w:t>
            </w:r>
          </w:p>
        </w:tc>
        <w:tc>
          <w:tcPr>
            <w:tcW w:w="411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30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6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Somer: Voorlopige oppervlakte beplant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FEBRUARIE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Dinsdag, 23</w:t>
            </w:r>
            <w:r>
              <w:rPr>
                <w:vertAlign w:val="superscript"/>
                <w:sz w:val="16"/>
              </w:rPr>
              <w:t>ste</w:t>
            </w:r>
          </w:p>
        </w:tc>
        <w:tc>
          <w:tcPr>
            <w:tcW w:w="411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-165"/>
              <w:bidi w:val="0"/>
              <w:spacing w:before="60" w:after="60"/>
            </w:pPr>
            <w:r>
              <w:rPr>
                <w:sz w:val="16"/>
              </w:rPr>
              <w:t>Winter: 7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ind w:right="-165"/>
              <w:bidi w:val="0"/>
              <w:spacing w:before="60" w:after="60"/>
            </w:pPr>
            <w:r>
              <w:rPr>
                <w:sz w:val="16"/>
              </w:rPr>
              <w:t>Somer: Hersiene oppervlakte en 1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ind w:right="-165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MAART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Woensdag, 24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11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2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APRIL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Donderdag, 22</w:t>
            </w:r>
            <w:r>
              <w:rPr>
                <w:vertAlign w:val="superscript"/>
                <w:sz w:val="16"/>
              </w:rPr>
              <w:t>ste</w:t>
            </w:r>
          </w:p>
        </w:tc>
        <w:tc>
          <w:tcPr>
            <w:tcW w:w="411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3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Voornemens om te plant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MEI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Donderdag, 6</w:t>
            </w:r>
            <w:r>
              <w:rPr>
                <w:vertAlign w:val="superscript"/>
                <w:sz w:val="16"/>
              </w:rPr>
              <w:t>de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Donderdag, 20</w:t>
            </w:r>
            <w:r>
              <w:rPr>
                <w:vertAlign w:val="superscript"/>
                <w:sz w:val="16"/>
              </w:rPr>
              <w:t>ste</w:t>
            </w:r>
          </w:p>
        </w:tc>
        <w:tc>
          <w:tcPr>
            <w:tcW w:w="411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Finalisering van 2009-oes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4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JUNIE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Donderdag, 24</w:t>
            </w:r>
            <w:r>
              <w:rPr>
                <w:vertAlign w:val="superscript"/>
                <w:sz w:val="16"/>
              </w:rPr>
              <w:t>ste</w:t>
            </w:r>
          </w:p>
        </w:tc>
        <w:tc>
          <w:tcPr>
            <w:tcW w:w="411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5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JULIE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Donderdag, 22</w:t>
            </w:r>
            <w:r>
              <w:rPr>
                <w:vertAlign w:val="superscript"/>
                <w:sz w:val="16"/>
              </w:rPr>
              <w:t>ste</w:t>
            </w:r>
          </w:p>
        </w:tc>
        <w:tc>
          <w:tcPr>
            <w:tcW w:w="411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6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Voorlopige oppervlakte beplant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AUGUSTUS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Dinsdag, 24</w:t>
            </w:r>
            <w:r>
              <w:rPr>
                <w:vertAlign w:val="superscript"/>
                <w:sz w:val="16"/>
              </w:rPr>
              <w:t>ste</w:t>
            </w:r>
          </w:p>
        </w:tc>
        <w:tc>
          <w:tcPr>
            <w:tcW w:w="411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7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Hersiene oppervlakte en 1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SEPTEMBER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Donderdag, 23</w:t>
            </w:r>
            <w:r>
              <w:rPr>
                <w:vertAlign w:val="superscript"/>
                <w:sz w:val="16"/>
              </w:rPr>
              <w:t>ste</w:t>
            </w:r>
          </w:p>
        </w:tc>
        <w:tc>
          <w:tcPr>
            <w:tcW w:w="411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 xml:space="preserve">Somer: Finale produksieskatting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2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OKTOBER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Donderdag, 21</w:t>
            </w:r>
            <w:r>
              <w:rPr>
                <w:vertAlign w:val="superscript"/>
                <w:sz w:val="16"/>
              </w:rPr>
              <w:t>ste</w:t>
            </w:r>
          </w:p>
        </w:tc>
        <w:tc>
          <w:tcPr>
            <w:tcW w:w="411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3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 xml:space="preserve">Somer: </w:t>
            </w:r>
            <w:r>
              <w:rPr>
                <w:vertAlign w:val="superscript"/>
                <w:sz w:val="16"/>
              </w:rPr>
              <w:t xml:space="preserve"> </w:t>
            </w:r>
            <w:r>
              <w:rPr>
                <w:sz w:val="16"/>
              </w:rPr>
              <w:t>Voornemens om te plant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Dinsdag, 23</w:t>
            </w:r>
            <w:r>
              <w:rPr>
                <w:vertAlign w:val="superscript"/>
                <w:sz w:val="16"/>
              </w:rPr>
              <w:t>ste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Donderdag, 25</w:t>
            </w:r>
            <w:r>
              <w:rPr>
                <w:vertAlign w:val="superscript"/>
                <w:sz w:val="16"/>
              </w:rPr>
              <w:t>ste</w:t>
            </w:r>
          </w:p>
        </w:tc>
        <w:tc>
          <w:tcPr>
            <w:tcW w:w="411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4</w:t>
            </w:r>
            <w:r>
              <w:rPr>
                <w:vertAlign w:val="superscript"/>
                <w:sz w:val="16"/>
              </w:rPr>
              <w:t xml:space="preserve">de </w:t>
            </w:r>
            <w:r>
              <w:rPr>
                <w:sz w:val="16"/>
              </w:rPr>
              <w:t>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 xml:space="preserve">Somer: Finalisering van 2009/10-oes 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DESEMBER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Dinsdag, 21</w:t>
            </w:r>
            <w:r>
              <w:rPr>
                <w:vertAlign w:val="superscript"/>
                <w:sz w:val="16"/>
              </w:rPr>
              <w:t>ste</w:t>
            </w:r>
          </w:p>
        </w:tc>
        <w:tc>
          <w:tcPr>
            <w:tcW w:w="411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5</w:t>
            </w:r>
            <w:r>
              <w:rPr>
                <w:vertAlign w:val="superscript"/>
                <w:sz w:val="16"/>
              </w:rPr>
              <w:t xml:space="preserve">de </w:t>
            </w:r>
            <w:r>
              <w:rPr>
                <w:sz w:val="16"/>
              </w:rPr>
              <w:t>produksieskatting</w:t>
            </w:r>
          </w:p>
        </w:tc>
      </w:tr>
    </w:tbl>
    <w:p>
      <w:pPr>
        <w:bidi w:val="0"/>
      </w:pPr>
      <w:r>
        <w:t/>
      </w:r>
    </w:p>
    <w:p>
      <w:pPr>
        <w:bidi w:val="0"/>
      </w:pPr>
      <w:r>
        <w:t/>
      </w:r>
    </w:p>
    <w:p>
      <w:pPr>
        <w:ind w:hanging="570"/>
        <w:bidi w:val="0"/>
      </w:pPr>
      <w:r>
        <w:rPr>
          <w:i/>
          <w:sz w:val="20"/>
        </w:rPr>
        <w:t>Onderhewig aan verandering met vooraf kennisgewing</w:t>
      </w:r>
    </w:p>
    <w:p>
      <w:pPr>
        <w:bidi w:val="0"/>
      </w:pPr>
      <w:r>
        <w:t/>
      </w:r>
    </w:p>
    <w:tbl>
      <w:tblPr>
        <w:tblW w:w="7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570" w:type="dxa"/>
      </w:tblPr>
      <w:tblGrid>
        <w:gridCol w:w="1560"/>
        <w:gridCol w:w="1575"/>
        <w:gridCol w:w="3975"/>
      </w:tblGrid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pStyle w:val="23"/>
              <w:jc w:val="center"/>
              <w:ind w:left="-390" w:right="-120"/>
              <w:bidi w:val="0"/>
              <w:spacing w:after="120"/>
            </w:pPr>
            <w:r>
              <w:rPr>
                <w:b w:val="0"/>
                <w:sz w:val="24"/>
              </w:rPr>
              <w:t/>
            </w:r>
          </w:p>
        </w:tc>
        <w:tc>
          <w:tcPr>
            <w:tcW w:w="5555" w:type="dxa"/>
            <w:gridSpan w:val="2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ind w:left="-390"/>
              <w:bidi w:val="0"/>
              <w:spacing w:before="240"/>
            </w:pPr>
            <w:r>
              <w:rPr>
                <w:b/>
                <w:sz w:val="32"/>
              </w:rPr>
              <w:t>CROP ESTIMATES COMMITTEE</w:t>
            </w:r>
          </w:p>
          <w:p>
            <w:pPr>
              <w:jc w:val="center"/>
              <w:ind w:left="-390"/>
              <w:bidi w:val="0"/>
              <w:spacing w:lineRule="auto" w:line="312"/>
            </w:pPr>
            <w:r>
              <w:rPr>
                <w:b/>
                <w:sz w:val="32"/>
              </w:rPr>
              <w:t>MEETING DATES: 2010</w:t>
            </w:r>
          </w:p>
          <w:p>
            <w:pPr>
              <w:jc w:val="center"/>
              <w:ind w:left="-390"/>
              <w:bidi w:val="0"/>
              <w:spacing w:lineRule="auto" w:line="312"/>
            </w:pPr>
            <w:r>
              <w:rPr>
                <w:sz w:val="20"/>
              </w:rPr>
              <w:t>(Preliminary)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jc w:val="center"/>
              <w:ind w:left="-390"/>
              <w:bidi w:val="0"/>
              <w:spacing w:lineRule="auto" w:line="312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JANUARY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 w:right="30"/>
              <w:bidi w:val="0"/>
              <w:spacing w:before="60" w:after="60"/>
            </w:pPr>
            <w:r>
              <w:rPr>
                <w:sz w:val="16"/>
              </w:rPr>
              <w:t>Thursday, 21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7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30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Summer: Preliminary area planted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FEBRUARY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Tuesday, 23</w:t>
            </w:r>
            <w:r>
              <w:rPr>
                <w:vertAlign w:val="superscript"/>
                <w:sz w:val="16"/>
              </w:rPr>
              <w:t>rd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7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Revised area and 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MARCH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Wednesday, 24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7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2</w:t>
            </w:r>
            <w:r>
              <w:rPr>
                <w:vertAlign w:val="superscript"/>
                <w:sz w:val="16"/>
              </w:rPr>
              <w:t>nd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APRIL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Thursday, 22</w:t>
            </w:r>
            <w:r>
              <w:rPr>
                <w:vertAlign w:val="superscript"/>
                <w:sz w:val="16"/>
              </w:rPr>
              <w:t>nd</w:t>
            </w:r>
          </w:p>
        </w:tc>
        <w:tc>
          <w:tcPr>
            <w:tcW w:w="397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3</w:t>
            </w:r>
            <w:r>
              <w:rPr>
                <w:vertAlign w:val="superscript"/>
                <w:sz w:val="16"/>
              </w:rPr>
              <w:t>rd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Intentions to plant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MAY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Thursday, 6</w:t>
            </w:r>
            <w:r>
              <w:rPr>
                <w:vertAlign w:val="superscript"/>
                <w:sz w:val="16"/>
              </w:rPr>
              <w:t>th</w:t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Thursday, 20</w:t>
            </w:r>
            <w:r>
              <w:rPr>
                <w:vertAlign w:val="superscript"/>
                <w:sz w:val="16"/>
              </w:rPr>
              <w:t>th</w:t>
            </w:r>
          </w:p>
        </w:tc>
        <w:tc>
          <w:tcPr>
            <w:tcW w:w="397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Finalisation of 2009 crop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4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JUNE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Thursday, 24</w:t>
            </w:r>
            <w:r>
              <w:rPr>
                <w:vertAlign w:val="superscript"/>
                <w:sz w:val="16"/>
              </w:rPr>
              <w:t>th</w:t>
            </w:r>
          </w:p>
        </w:tc>
        <w:tc>
          <w:tcPr>
            <w:tcW w:w="397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5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JULY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Thursday, 22</w:t>
            </w:r>
            <w:r>
              <w:rPr>
                <w:vertAlign w:val="superscript"/>
                <w:sz w:val="16"/>
              </w:rPr>
              <w:t>nd</w:t>
            </w:r>
          </w:p>
        </w:tc>
        <w:tc>
          <w:tcPr>
            <w:tcW w:w="397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Preliminary area planted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AUGUST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Tuesday, 24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7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Revised area and 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SEPTEMBER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Thursday, 23</w:t>
            </w:r>
            <w:r>
              <w:rPr>
                <w:vertAlign w:val="superscript"/>
                <w:sz w:val="16"/>
              </w:rPr>
              <w:t>rd</w:t>
            </w:r>
          </w:p>
        </w:tc>
        <w:tc>
          <w:tcPr>
            <w:tcW w:w="397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Final production estimate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2</w:t>
            </w:r>
            <w:r>
              <w:rPr>
                <w:vertAlign w:val="superscript"/>
                <w:sz w:val="16"/>
              </w:rPr>
              <w:t>nd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OCTOBER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Thursday, 21</w:t>
            </w:r>
            <w:r>
              <w:rPr>
                <w:vertAlign w:val="superscript"/>
                <w:sz w:val="16"/>
              </w:rPr>
              <w:t>st</w:t>
            </w:r>
          </w:p>
        </w:tc>
        <w:tc>
          <w:tcPr>
            <w:tcW w:w="397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3</w:t>
            </w:r>
            <w:r>
              <w:rPr>
                <w:vertAlign w:val="superscript"/>
                <w:sz w:val="16"/>
              </w:rPr>
              <w:t>rd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Intentions to plant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Tuesday, 23</w:t>
            </w:r>
            <w:r>
              <w:rPr>
                <w:vertAlign w:val="superscript"/>
                <w:sz w:val="16"/>
              </w:rPr>
              <w:t>rd</w:t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Thursday, 25</w:t>
            </w:r>
            <w:r>
              <w:rPr>
                <w:vertAlign w:val="superscript"/>
                <w:sz w:val="16"/>
              </w:rPr>
              <w:t>th</w:t>
            </w:r>
          </w:p>
        </w:tc>
        <w:tc>
          <w:tcPr>
            <w:tcW w:w="397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4</w:t>
            </w:r>
            <w:r>
              <w:rPr>
                <w:vertAlign w:val="superscript"/>
                <w:sz w:val="16"/>
              </w:rPr>
              <w:t xml:space="preserve">th  </w:t>
            </w:r>
            <w:r>
              <w:rPr>
                <w:sz w:val="16"/>
              </w:rPr>
              <w:t>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Finalisation of 2009/10 crop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DECEMBER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Tuesday, 21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7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5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</w:tbl>
    <w:p>
      <w:pPr>
        <w:bidi w:val="0"/>
      </w:pPr>
      <w:r>
        <w:t/>
      </w:r>
    </w:p>
    <w:p>
      <w:pPr>
        <w:bidi w:val="0"/>
      </w:pPr>
      <w:r>
        <w:t/>
      </w:r>
    </w:p>
    <w:p>
      <w:pPr>
        <w:ind w:hanging="420"/>
        <w:bidi w:val="0"/>
      </w:pPr>
      <w:r>
        <w:rPr>
          <w:i/>
          <w:sz w:val="20"/>
        </w:rPr>
        <w:t>Subject to change with prior notice</w:t>
      </w:r>
    </w:p>
    <w:p>
      <w:pPr>
        <w:bidi w:val="0"/>
      </w:pPr>
      <w:r>
        <w:t/>
      </w:r>
    </w:p>
    <w:p>
      <w:pPr>
        <w:bidi w:val="0"/>
      </w:pPr>
      <w:r>
        <w:t/>
      </w:r>
    </w:p>
    <w:sectPr>
      <w:pgSz w:w="15840" w:h="12240" w:orient="landscape"/>
      <w:pgMar w:top="1440" w:right="1440" w:bottom="1440" w:left="1440" w:header="720" w:footer="57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charset w:val="00"/>
  </w:font>
  <w:font w:name="Tahoma">
    <w:charset w:val="01"/>
  </w:font>
  <w:font w:name="Arial">
    <w:charset w:val="01"/>
  </w:font>
  <w:font w:name="Courier New">
    <w:charset w:val="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ontents 1"/>
    <w:basedOn w:val="33"/>
    <w:next w:val="33"/>
    <w:pPr>
      <w:ind w:left="720" w:hanging="435"/>
    </w:pPr>
  </w:style>
  <w:style w:type="paragraph" w:styleId="1">
    <w:name w:val="Contents 2"/>
    <w:basedOn w:val="33"/>
    <w:next w:val="33"/>
    <w:pPr>
      <w:ind w:left="1440" w:hanging="435"/>
    </w:pPr>
  </w:style>
  <w:style w:type="paragraph" w:styleId="2">
    <w:name w:val="Contents 3"/>
    <w:basedOn w:val="33"/>
    <w:next w:val="33"/>
    <w:pPr>
      <w:ind w:left="2160" w:hanging="435"/>
    </w:pPr>
  </w:style>
  <w:style w:type="paragraph" w:styleId="3">
    <w:name w:val="Lower Roman List"/>
    <w:basedOn w:val="33"/>
    <w:pPr>
      <w:ind w:left="720" w:hanging="435"/>
    </w:pPr>
  </w:style>
  <w:style w:type="paragraph" w:styleId="4">
    <w:name w:val="Numbered Heading 1"/>
    <w:basedOn w:val="23"/>
    <w:next w:val="33"/>
    <w:pPr>
      <w:keepNext w:val="0"/>
      <w:spacing w:before="0" w:after="0"/>
      <w:tabs>
        <w:tab w:val="left" w:pos="435"/>
        <w:tab w:val="clear" w:pos="0"/>
      </w:tabs>
    </w:pPr>
    <w:rPr>
      <w:b w:val="0"/>
      <w:sz w:val="24"/>
    </w:rPr>
  </w:style>
  <w:style w:type="paragraph" w:styleId="5">
    <w:name w:val="Numbered Heading 2"/>
    <w:basedOn w:val="24"/>
    <w:next w:val="3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6">
    <w:name w:val="Square List"/>
    <w:pPr>
      <w:ind w:left="720" w:hanging="435"/>
    </w:pPr>
    <w:rPr>
      <w:rFonts w:ascii="Tahoma" w:hAnsi="Tahoma" w:cs="Tahoma" w:eastAsia="Tahoma"/>
      <w:sz w:val="24"/>
    </w:rPr>
  </w:style>
  <w:style w:type="character" w:default="1" w:styleId="def">
    <w:name w:val="Default Paragraph Font"/>
    <w:uiPriority w:val="1"/>
    <w:semiHidden/>
    <w:unhideWhenUsed/>
  </w:style>
  <w:style w:type="paragraph" w:styleId="7">
    <w:name w:val="Endnote Text"/>
    <w:basedOn w:val="33"/>
    <w:link w:val="c7"/>
  </w:style>
  <w:style w:type="character" w:styleId="c7">
    <w:name w:val="Endnote Text Text"/>
    <w:basedOn w:val="def"/>
    <w:link w:val="7"/>
  </w:style>
  <w:style w:type="paragraph" w:styleId="8">
    <w:name w:val="Contents 4"/>
    <w:basedOn w:val="33"/>
    <w:next w:val="33"/>
    <w:pPr>
      <w:ind w:left="2880" w:hanging="435"/>
    </w:pPr>
  </w:style>
  <w:style w:type="paragraph" w:styleId="9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10">
    <w:name w:val="Numbered List"/>
    <w:pPr>
      <w:ind w:left="720" w:hanging="435"/>
    </w:pPr>
    <w:rPr>
      <w:rFonts w:ascii="Tahoma" w:hAnsi="Tahoma" w:cs="Tahoma" w:eastAsia="Tahoma"/>
      <w:sz w:val="24"/>
    </w:rPr>
  </w:style>
  <w:style w:type="character" w:styleId="c11">
    <w:name w:val="Endnote Reference"/>
    <w:basedOn w:val="def"/>
    <w:rPr>
      <w:rFonts w:ascii="Tahoma" w:hAnsi="Tahoma" w:cs="Tahoma" w:eastAsia="Tahoma"/>
      <w:vertAlign w:val="superscript"/>
    </w:rPr>
  </w:style>
  <w:style w:type="paragraph" w:styleId="12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13">
    <w:name w:val="Numbered Heading 3"/>
    <w:basedOn w:val="27"/>
    <w:next w:val="3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14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15">
    <w:name w:val="Upper Roman List"/>
    <w:basedOn w:val="10"/>
  </w:style>
  <w:style w:type="paragraph" w:styleId="16">
    <w:name w:val="Heading 4"/>
    <w:basedOn w:val="33"/>
    <w:next w:val="33"/>
    <w:pPr>
      <w:spacing w:before="435" w:after="60"/>
    </w:pPr>
    <w:rPr>
      <w:rFonts w:ascii="Arial" w:hAnsi="Arial" w:cs="Arial" w:eastAsia="Arial"/>
      <w:b/>
    </w:rPr>
  </w:style>
  <w:style w:type="paragraph" w:styleId="17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18">
    <w:name w:val="Table Normal"/>
    <w:rPr>
      <w:rFonts w:ascii="Tahoma" w:hAnsi="Tahoma" w:cs="Tahoma" w:eastAsia="Tahoma"/>
      <w:sz w:val="28"/>
    </w:rPr>
  </w:style>
  <w:style w:type="paragraph" w:styleId="19">
    <w:name w:val="Upper Case List"/>
    <w:basedOn w:val="10"/>
  </w:style>
  <w:style w:type="paragraph" w:styleId="20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Footnote Text"/>
    <w:basedOn w:val="33"/>
    <w:link w:val="c22"/>
    <w:rPr>
      <w:sz w:val="20"/>
    </w:rPr>
  </w:style>
  <w:style w:type="character" w:styleId="c22">
    <w:name w:val="Footnote Text Text"/>
    <w:basedOn w:val="def"/>
    <w:link w:val="22"/>
    <w:rPr>
      <w:sz w:val="20"/>
    </w:rPr>
  </w:style>
  <w:style w:type="paragraph" w:styleId="23">
    <w:name w:val="Heading 1"/>
    <w:basedOn w:val="33"/>
    <w:next w:val="33"/>
    <w:pPr>
      <w:keepNext/>
      <w:spacing w:before="435" w:after="60"/>
    </w:pPr>
    <w:rPr>
      <w:b/>
      <w:sz w:val="28"/>
    </w:rPr>
  </w:style>
  <w:style w:type="paragraph" w:styleId="24">
    <w:name w:val="Heading 2"/>
    <w:basedOn w:val="33"/>
    <w:next w:val="33"/>
    <w:pPr>
      <w:spacing w:before="435" w:after="60"/>
    </w:pPr>
    <w:rPr>
      <w:rFonts w:ascii="Arial" w:hAnsi="Arial" w:cs="Arial" w:eastAsia="Arial"/>
      <w:b/>
      <w:sz w:val="28"/>
    </w:rPr>
  </w:style>
  <w:style w:type="paragraph" w:styleId="25">
    <w:name w:val="Contents Header"/>
    <w:basedOn w:val="33"/>
    <w:next w:val="33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26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Heading 3"/>
    <w:basedOn w:val="33"/>
    <w:next w:val="33"/>
    <w:pPr>
      <w:spacing w:before="435" w:after="60"/>
    </w:pPr>
    <w:rPr>
      <w:rFonts w:ascii="Arial" w:hAnsi="Arial" w:cs="Arial" w:eastAsia="Arial"/>
      <w:b/>
    </w:rPr>
  </w:style>
  <w:style w:type="paragraph" w:styleId="28">
    <w:name w:val="Lower Case List"/>
    <w:basedOn w:val="10"/>
  </w:style>
  <w:style w:type="paragraph" w:styleId="29">
    <w:name w:val="Block Text"/>
    <w:basedOn w:val="33"/>
    <w:pPr>
      <w:ind w:left="1440" w:right="1440"/>
      <w:spacing w:after="120"/>
    </w:pPr>
  </w:style>
  <w:style w:type="paragraph" w:styleId="30">
    <w:name w:val="Plain Text"/>
    <w:basedOn w:val="33"/>
    <w:rPr>
      <w:rFonts w:ascii="Courier New" w:hAnsi="Courier New" w:cs="Courier New" w:eastAsia="Courier New"/>
    </w:rPr>
  </w:style>
  <w:style w:type="paragraph" w:styleId="31">
    <w:name w:val="Section Heading"/>
    <w:basedOn w:val="4"/>
    <w:next w:val="33"/>
    <w:pPr>
      <w:tabs>
        <w:tab w:val="clear" w:pos="0"/>
        <w:tab w:val="clear" w:pos="435"/>
        <w:tab w:val="left" w:pos="1590"/>
      </w:tabs>
    </w:pPr>
  </w:style>
  <w:style w:type="paragraph" w:styleId="32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default="1" w:styleId="33">
    <w:name w:val="Normal"/>
    <w:rPr>
      <w:rFonts w:ascii="Tahoma" w:hAnsi="Tahoma" w:cs="Tahoma" w:eastAsia="Tahoma"/>
      <w:sz w:val="24"/>
    </w:rPr>
  </w:style>
  <w:style w:type="paragraph" w:styleId="34">
    <w:name w:val="Star List"/>
    <w:pPr>
      <w:ind w:left="720" w:hanging="435"/>
    </w:pPr>
    <w:rPr>
      <w:rFonts w:ascii="Tahoma" w:hAnsi="Tahoma" w:cs="Tahoma" w:eastAsia="Tahoma"/>
      <w:sz w:val="24"/>
    </w:rPr>
  </w:style>
  <w:style w:type="character" w:styleId="c35">
    <w:name w:val="Footnote Reference"/>
    <w:basedOn w:val="def"/>
    <w:rPr>
      <w:rFonts w:ascii="Tahoma" w:hAnsi="Tahoma" w:cs="Tahoma" w:eastAsia="Tahoma"/>
      <w:vertAlign w:val="superscript"/>
    </w:rPr>
  </w:style>
  <w:style w:type="paragraph" w:styleId="36">
    <w:name w:val="Chapter Heading"/>
    <w:basedOn w:val="4"/>
    <w:next w:val="33"/>
    <w:pPr>
      <w:tabs>
        <w:tab w:val="clear" w:pos="0"/>
        <w:tab w:val="clear" w:pos="435"/>
        <w:tab w:val="left" w:pos="1590"/>
      </w:tabs>
    </w:pPr>
  </w:style>
  <w:style w:type="paragraph" w:styleId="37">
    <w:name w:val="Box List"/>
    <w:pPr>
      <w:ind w:left="720" w:hanging="435"/>
    </w:pPr>
    <w:rPr>
      <w:rFonts w:ascii="Tahoma" w:hAnsi="Tahoma" w:cs="Tahoma" w:eastAsia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/Relationships>
</file>