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color w:val="000000"/>
        </w:rPr>
        <w:t/>
      </w:r>
    </w:p>
    <w:p>
      <w:pPr>
        <w:bidi w:val="0"/>
      </w:pPr>
      <w:r>
        <w:t/>
      </w:r>
    </w:p>
    <w:tbl>
      <w:tblPr>
        <w:tblW w:w="72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705" w:type="dxa"/>
      </w:tblPr>
      <w:tblGrid>
        <w:gridCol w:w="405"/>
        <w:gridCol w:w="1320"/>
        <w:gridCol w:w="1290"/>
        <w:gridCol w:w="4230"/>
      </w:tblGrid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pStyle w:val="24"/>
              <w:jc w:val="center"/>
              <w:bidi w:val="0"/>
              <w:spacing w:after="120"/>
            </w:pPr>
            <w:r>
              <w:rPr>
                <w:b w:val="0"/>
                <w:sz w:val="24"/>
              </w:rPr>
              <w:t/>
            </w:r>
          </w:p>
        </w:tc>
        <w:tc>
          <w:tcPr>
            <w:tcW w:w="1325" w:type="dxa"/>
            <w:tcBorders>
              <w:left w:val="single" w:sz="6" w:color="036B91"/>
              <w:top w:val="single" w:sz="6" w:color="036B91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jc w:val="center"/>
              <w:ind w:left="-90"/>
              <w:bidi w:val="0"/>
              <w:spacing w:before="240"/>
            </w:pPr>
            <w:r>
              <w:t/>
            </w:r>
          </w:p>
        </w:tc>
        <w:tc>
          <w:tcPr>
            <w:tcW w:w="5535" w:type="dxa"/>
            <w:gridSpan w:val="2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ind w:left="-90"/>
              <w:bidi w:val="0"/>
              <w:spacing w:before="240"/>
            </w:pPr>
            <w:r>
              <w:rPr>
                <w:b/>
                <w:sz w:val="40"/>
              </w:rPr>
              <w:t>O</w:t>
            </w:r>
            <w:r>
              <w:rPr>
                <w:b/>
                <w:sz w:val="32"/>
              </w:rPr>
              <w:t>ESSKATTINGSKOMITEE</w:t>
            </w:r>
          </w:p>
          <w:p>
            <w:pPr>
              <w:jc w:val="center"/>
              <w:ind w:left="-90"/>
              <w:bidi w:val="0"/>
              <w:spacing w:lineRule="auto" w:line="312"/>
            </w:pPr>
            <w:r>
              <w:rPr>
                <w:b/>
                <w:sz w:val="32"/>
              </w:rPr>
              <w:t>VERGADERING DATUMS: 2011</w:t>
            </w:r>
          </w:p>
          <w:p>
            <w:pPr>
              <w:jc w:val="center"/>
              <w:ind w:left="-90"/>
              <w:bidi w:val="0"/>
              <w:spacing w:lineRule="auto" w:line="312"/>
            </w:pPr>
            <w:r>
              <w:rPr>
                <w:sz w:val="20"/>
              </w:rPr>
              <w:t>(Voorlopig)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jc w:val="center"/>
              <w:ind w:left="-90"/>
              <w:bidi w:val="0"/>
              <w:spacing w:lineRule="auto" w:line="312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3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JANUARIE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 w:right="30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30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6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Somer: Voorlopige oppervlakte beplant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24</w:t>
            </w:r>
          </w:p>
        </w:tc>
        <w:tc>
          <w:tcPr>
            <w:tcW w:w="13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FEBRUARIE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23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ind w:right="-165"/>
              <w:bidi w:val="0"/>
              <w:spacing w:before="60" w:after="60"/>
            </w:pPr>
            <w:r>
              <w:rPr>
                <w:sz w:val="16"/>
              </w:rPr>
              <w:t>Winter: 7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ind w:right="-165"/>
              <w:bidi w:val="0"/>
              <w:spacing w:before="60" w:after="60"/>
            </w:pPr>
            <w:r>
              <w:rPr>
                <w:sz w:val="16"/>
              </w:rPr>
              <w:t>Somer: Hersiene oppervlakte en 1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ind w:right="-16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24</w:t>
            </w:r>
          </w:p>
        </w:tc>
        <w:tc>
          <w:tcPr>
            <w:tcW w:w="13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MAART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23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2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20</w:t>
            </w:r>
          </w:p>
        </w:tc>
        <w:tc>
          <w:tcPr>
            <w:tcW w:w="13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APRIL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23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3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Voornemens om te 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5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24</w:t>
            </w:r>
          </w:p>
        </w:tc>
        <w:tc>
          <w:tcPr>
            <w:tcW w:w="13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MEI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MEI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Finalisering van 2010-oes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4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23</w:t>
            </w:r>
          </w:p>
        </w:tc>
        <w:tc>
          <w:tcPr>
            <w:tcW w:w="13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JUNIE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23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5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3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JULIE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6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Voorlopige oppervlakte beplant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3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AUGUSTUS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23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7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Hersiene oppervlakte en 1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3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SEPTEMBER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 xml:space="preserve">Somer: Finale produksieskatting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2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3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OKTOBER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3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 xml:space="preserve">Somer: </w:t>
            </w:r>
            <w:r>
              <w:rPr>
                <w:vertAlign w:val="superscript"/>
                <w:sz w:val="16"/>
              </w:rPr>
              <w:t xml:space="preserve"> </w:t>
            </w:r>
            <w:r>
              <w:rPr>
                <w:sz w:val="16"/>
              </w:rPr>
              <w:t>Voornemens om te 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24</w:t>
            </w:r>
          </w:p>
        </w:tc>
        <w:tc>
          <w:tcPr>
            <w:tcW w:w="13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NOVEMBER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23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4</w:t>
            </w:r>
            <w:r>
              <w:rPr>
                <w:vertAlign w:val="superscript"/>
                <w:sz w:val="16"/>
              </w:rPr>
              <w:t xml:space="preserve">de </w:t>
            </w:r>
            <w:r>
              <w:rPr>
                <w:sz w:val="16"/>
              </w:rPr>
              <w:t>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right="-60"/>
              <w:bidi w:val="0"/>
              <w:spacing w:before="60" w:after="60"/>
            </w:pPr>
            <w:r>
              <w:rPr>
                <w:sz w:val="16"/>
              </w:rPr>
              <w:t>01</w:t>
            </w:r>
          </w:p>
          <w:p>
            <w:pPr>
              <w:jc w:val="right"/>
              <w:ind w:right="-60"/>
              <w:bidi w:val="0"/>
              <w:spacing w:before="60" w:after="60"/>
            </w:pPr>
            <w:r>
              <w:rPr>
                <w:sz w:val="16"/>
              </w:rPr>
              <w:t>21</w:t>
            </w:r>
          </w:p>
        </w:tc>
        <w:tc>
          <w:tcPr>
            <w:tcW w:w="13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DESEMBER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DESEMBER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23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Finalisering van 2010/11-oes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5</w:t>
            </w:r>
            <w:r>
              <w:rPr>
                <w:vertAlign w:val="superscript"/>
                <w:sz w:val="16"/>
              </w:rPr>
              <w:t xml:space="preserve">de </w:t>
            </w:r>
            <w:r>
              <w:rPr>
                <w:sz w:val="16"/>
              </w:rPr>
              <w:t>produksieskatting</w:t>
            </w:r>
          </w:p>
        </w:tc>
      </w:tr>
    </w:tbl>
    <w:p>
      <w:pPr>
        <w:bidi w:val="0"/>
      </w:pPr>
      <w:r>
        <w:t/>
      </w:r>
    </w:p>
    <w:p>
      <w:pPr>
        <w:ind w:hanging="570"/>
        <w:bidi w:val="0"/>
        <w:spacing w:before="60" w:after="120"/>
      </w:pPr>
      <w:r>
        <w:rPr>
          <w:i/>
          <w:sz w:val="20"/>
        </w:rPr>
        <w:t>“CELC” = Oesskattingskakelkomitee</w:t>
      </w:r>
    </w:p>
    <w:p>
      <w:pPr>
        <w:ind w:left="-570"/>
        <w:bidi w:val="0"/>
        <w:spacing w:after="120"/>
      </w:pPr>
      <w:r>
        <w:rPr>
          <w:sz w:val="20"/>
        </w:rPr>
        <w:t>NOTAS: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Oesskattingskomiteevergaderings:</w:t>
      </w:r>
    </w:p>
    <w:p>
      <w:pPr>
        <w:pStyle w:val="8"/>
        <w:jc w:val="both"/>
        <w:ind w:left="-570" w:firstLine="990"/>
        <w:bidi w:val="0"/>
        <w:tabs>
          <w:tab w:val="left" w:pos="10530"/>
        </w:tabs>
      </w:pPr>
      <w:r>
        <w:rPr>
          <w:rFonts w:ascii="Tahoma" w:hAnsi="Tahoma" w:cs="Tahoma" w:eastAsia="Tahoma"/>
          <w:sz w:val="20"/>
        </w:rPr>
        <w:t xml:space="preserve">Begintyd = </w:t>
      </w:r>
      <w:r>
        <w:rPr>
          <w:rFonts w:ascii="Tahoma" w:hAnsi="Tahoma" w:cs="Tahoma" w:eastAsia="Tahoma"/>
          <w:b/>
          <w:sz w:val="20"/>
        </w:rPr>
        <w:t>11:00</w:t>
      </w:r>
      <w:r>
        <w:rPr>
          <w:rFonts w:ascii="Tahoma" w:hAnsi="Tahoma" w:cs="Tahoma" w:eastAsia="Tahoma"/>
          <w:sz w:val="20"/>
        </w:rPr>
        <w:t xml:space="preserve">. </w:t>
      </w:r>
    </w:p>
    <w:p>
      <w:pPr>
        <w:pStyle w:val="8"/>
        <w:jc w:val="both"/>
        <w:ind w:left="-570" w:firstLine="990"/>
        <w:bidi w:val="0"/>
        <w:spacing w:after="240"/>
        <w:tabs>
          <w:tab w:val="left" w:pos="10530"/>
        </w:tabs>
      </w:pPr>
      <w:r>
        <w:rPr>
          <w:rFonts w:ascii="Tahoma" w:hAnsi="Tahoma" w:cs="Tahoma" w:eastAsia="Tahoma"/>
          <w:sz w:val="20"/>
        </w:rPr>
        <w:t xml:space="preserve">Vrystelling van inligting = </w:t>
      </w:r>
      <w:r>
        <w:rPr>
          <w:rFonts w:ascii="Tahoma" w:hAnsi="Tahoma" w:cs="Tahoma" w:eastAsia="Tahoma"/>
          <w:b/>
          <w:sz w:val="20"/>
        </w:rPr>
        <w:t>15:30</w:t>
      </w:r>
      <w:r>
        <w:rPr>
          <w:rFonts w:ascii="Tahoma" w:hAnsi="Tahoma" w:cs="Tahoma" w:eastAsia="Tahoma"/>
          <w:sz w:val="20"/>
        </w:rPr>
        <w:t>.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Datums onderhewig aan verandering met vooraf kennisgewing</w:t>
      </w:r>
    </w:p>
    <w:p>
      <w:pPr>
        <w:bidi w:val="0"/>
      </w:pPr>
      <w:r>
        <w:t/>
      </w:r>
    </w:p>
    <w:tbl>
      <w:tblPr>
        <w:tblW w:w="6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570" w:type="dxa"/>
      </w:tblPr>
      <w:tblGrid>
        <w:gridCol w:w="405"/>
        <w:gridCol w:w="1260"/>
        <w:gridCol w:w="1335"/>
        <w:gridCol w:w="3825"/>
      </w:tblGrid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pStyle w:val="24"/>
              <w:jc w:val="center"/>
              <w:ind w:left="-990" w:right="-120"/>
              <w:bidi w:val="0"/>
              <w:spacing w:after="120"/>
            </w:pPr>
            <w:r>
              <w:rPr>
                <w:b w:val="0"/>
                <w:sz w:val="24"/>
              </w:rPr>
              <w:t/>
            </w:r>
          </w:p>
        </w:tc>
        <w:tc>
          <w:tcPr>
            <w:tcW w:w="1265" w:type="dxa"/>
            <w:tcBorders>
              <w:left w:val="single" w:sz="6" w:color="036B91"/>
              <w:top w:val="single" w:sz="6" w:color="036B91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jc w:val="right"/>
              <w:ind w:left="-390"/>
              <w:bidi w:val="0"/>
              <w:spacing w:before="240"/>
            </w:pPr>
            <w:r>
              <w:t/>
            </w:r>
          </w:p>
        </w:tc>
        <w:tc>
          <w:tcPr>
            <w:tcW w:w="5165" w:type="dxa"/>
            <w:gridSpan w:val="2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ind w:left="-390"/>
              <w:bidi w:val="0"/>
              <w:spacing w:before="240"/>
            </w:pPr>
            <w:r>
              <w:rPr>
                <w:b/>
                <w:sz w:val="36"/>
              </w:rPr>
              <w:t>C</w:t>
            </w:r>
            <w:r>
              <w:rPr>
                <w:b/>
                <w:sz w:val="28"/>
              </w:rPr>
              <w:t xml:space="preserve">ROP </w:t>
            </w:r>
            <w:r>
              <w:rPr>
                <w:b/>
                <w:sz w:val="36"/>
              </w:rPr>
              <w:t>E</w:t>
            </w:r>
            <w:r>
              <w:rPr>
                <w:b/>
                <w:sz w:val="28"/>
              </w:rPr>
              <w:t xml:space="preserve">STIMATES </w:t>
            </w:r>
            <w:r>
              <w:rPr>
                <w:b/>
                <w:sz w:val="36"/>
              </w:rPr>
              <w:t>C</w:t>
            </w:r>
            <w:r>
              <w:rPr>
                <w:b/>
                <w:sz w:val="28"/>
              </w:rPr>
              <w:t>OMMITTEE</w:t>
            </w:r>
          </w:p>
          <w:p>
            <w:pPr>
              <w:jc w:val="center"/>
              <w:ind w:left="-390"/>
              <w:bidi w:val="0"/>
              <w:spacing w:lineRule="auto" w:line="312"/>
            </w:pPr>
            <w:r>
              <w:rPr>
                <w:b/>
                <w:sz w:val="36"/>
              </w:rPr>
              <w:t>M</w:t>
            </w:r>
            <w:r>
              <w:rPr>
                <w:b/>
                <w:sz w:val="28"/>
              </w:rPr>
              <w:t xml:space="preserve">EETING </w:t>
            </w:r>
            <w:r>
              <w:rPr>
                <w:b/>
                <w:sz w:val="36"/>
              </w:rPr>
              <w:t>D</w:t>
            </w:r>
            <w:r>
              <w:rPr>
                <w:b/>
                <w:sz w:val="28"/>
              </w:rPr>
              <w:t>ATES: 2011</w:t>
            </w:r>
          </w:p>
          <w:p>
            <w:pPr>
              <w:jc w:val="center"/>
              <w:ind w:left="-390"/>
              <w:bidi w:val="0"/>
              <w:spacing w:lineRule="auto" w:line="312"/>
            </w:pPr>
            <w:r>
              <w:rPr>
                <w:sz w:val="20"/>
              </w:rPr>
              <w:t>(Preliminary)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jc w:val="center"/>
              <w:ind w:left="-390"/>
              <w:bidi w:val="0"/>
              <w:spacing w:lineRule="auto" w:line="312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26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JANUARY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 w:right="30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30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6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Summer: Preliminary area planted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24</w:t>
            </w:r>
          </w:p>
        </w:tc>
        <w:tc>
          <w:tcPr>
            <w:tcW w:w="126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FEBRUARY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38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7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Revised area and 1</w:t>
            </w:r>
            <w:r>
              <w:rPr>
                <w:vertAlign w:val="superscript"/>
                <w:sz w:val="16"/>
              </w:rPr>
              <w:t>st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24</w:t>
            </w:r>
          </w:p>
        </w:tc>
        <w:tc>
          <w:tcPr>
            <w:tcW w:w="126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MARCH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38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2</w:t>
            </w:r>
            <w:r>
              <w:rPr>
                <w:vertAlign w:val="superscript"/>
                <w:sz w:val="16"/>
              </w:rPr>
              <w:t>nd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20</w:t>
            </w:r>
          </w:p>
        </w:tc>
        <w:tc>
          <w:tcPr>
            <w:tcW w:w="126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APRIL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38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3</w:t>
            </w:r>
            <w:r>
              <w:rPr>
                <w:vertAlign w:val="superscript"/>
                <w:sz w:val="16"/>
              </w:rPr>
              <w:t>rd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Intentions to 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5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24</w:t>
            </w:r>
          </w:p>
        </w:tc>
        <w:tc>
          <w:tcPr>
            <w:tcW w:w="126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MAY</w:t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MAY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Finalisation of 2010 crop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4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23</w:t>
            </w:r>
          </w:p>
        </w:tc>
        <w:tc>
          <w:tcPr>
            <w:tcW w:w="126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JUNE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38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5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26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JULY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6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Preliminary area planted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26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AUGUST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38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7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Revised area and 1</w:t>
            </w:r>
            <w:r>
              <w:rPr>
                <w:vertAlign w:val="superscript"/>
                <w:sz w:val="16"/>
              </w:rPr>
              <w:t>st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26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SEPTEMBER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Final production estimate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2</w:t>
            </w:r>
            <w:r>
              <w:rPr>
                <w:vertAlign w:val="superscript"/>
                <w:sz w:val="16"/>
              </w:rPr>
              <w:t>nd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26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OCTOBER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3</w:t>
            </w:r>
            <w:r>
              <w:rPr>
                <w:vertAlign w:val="superscript"/>
                <w:sz w:val="16"/>
              </w:rPr>
              <w:t>rd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Intentions to 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24</w:t>
            </w:r>
          </w:p>
        </w:tc>
        <w:tc>
          <w:tcPr>
            <w:tcW w:w="126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NOVEMBER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38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4</w:t>
            </w:r>
            <w:r>
              <w:rPr>
                <w:vertAlign w:val="superscript"/>
                <w:sz w:val="16"/>
              </w:rPr>
              <w:t xml:space="preserve">th  </w:t>
            </w:r>
            <w:r>
              <w:rPr>
                <w:sz w:val="16"/>
              </w:rPr>
              <w:t>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1"/>
              <w:bottom w:val="single" w:sz="6" w:color="036B91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right="-60"/>
              <w:bidi w:val="0"/>
              <w:spacing w:before="60" w:after="60"/>
            </w:pPr>
            <w:r>
              <w:rPr>
                <w:sz w:val="16"/>
              </w:rPr>
              <w:t>01</w:t>
            </w:r>
          </w:p>
          <w:p>
            <w:pPr>
              <w:jc w:val="right"/>
              <w:ind w:right="-60"/>
              <w:bidi w:val="0"/>
              <w:spacing w:before="60" w:after="60"/>
            </w:pPr>
            <w:r>
              <w:rPr>
                <w:sz w:val="16"/>
              </w:rPr>
              <w:t>21</w:t>
            </w:r>
          </w:p>
        </w:tc>
        <w:tc>
          <w:tcPr>
            <w:tcW w:w="126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DECEMBER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DECEMBER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3825" w:type="dxa"/>
            <w:tcBorders>
              <w:left w:val="single" w:sz="6" w:color="036B91"/>
              <w:top w:val="single" w:sz="6" w:color="036B91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Finalisation of 2010/11 crop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5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</w:tbl>
    <w:p>
      <w:pPr>
        <w:bidi w:val="0"/>
      </w:pPr>
      <w:r>
        <w:t/>
      </w:r>
    </w:p>
    <w:p>
      <w:pPr>
        <w:ind w:left="-210" w:hanging="225"/>
        <w:bidi w:val="0"/>
        <w:spacing w:before="60" w:after="120"/>
      </w:pPr>
      <w:r>
        <w:rPr>
          <w:i/>
          <w:sz w:val="20"/>
        </w:rPr>
        <w:t>CELC = Crop Estimates Liaison Committee</w:t>
      </w:r>
    </w:p>
    <w:p>
      <w:pPr>
        <w:ind w:left="-420"/>
        <w:bidi w:val="0"/>
        <w:spacing w:after="120"/>
      </w:pPr>
      <w:r>
        <w:rPr>
          <w:sz w:val="20"/>
        </w:rPr>
        <w:t>NOTES:</w:t>
      </w:r>
    </w:p>
    <w:p>
      <w:pPr>
        <w:jc w:val="both"/>
        <w:bidi w:val="0"/>
        <w:numPr>
          <w:ilvl w:val="0"/>
          <w:numId w:val="1"/>
        </w:numPr>
      </w:pPr>
      <w:r/>
      <w:r>
        <w:rPr>
          <w:sz w:val="20"/>
        </w:rPr>
        <w:t>Crop Estimates Committee meetings:</w:t>
      </w:r>
    </w:p>
    <w:p>
      <w:pPr>
        <w:jc w:val="both"/>
        <w:ind w:left="-420" w:firstLine="855"/>
        <w:bidi w:val="0"/>
      </w:pPr>
      <w:r>
        <w:rPr>
          <w:sz w:val="20"/>
        </w:rPr>
        <w:t xml:space="preserve">Starting time = </w:t>
      </w:r>
      <w:r>
        <w:rPr>
          <w:b/>
          <w:sz w:val="20"/>
        </w:rPr>
        <w:t>11:00</w:t>
      </w:r>
    </w:p>
    <w:p>
      <w:pPr>
        <w:jc w:val="both"/>
        <w:ind w:left="-420" w:firstLine="855"/>
        <w:bidi w:val="0"/>
        <w:spacing w:after="240"/>
      </w:pPr>
      <w:r>
        <w:rPr>
          <w:sz w:val="20"/>
        </w:rPr>
        <w:t xml:space="preserve">Releasing of information = </w:t>
      </w:r>
      <w:r>
        <w:rPr>
          <w:b/>
          <w:sz w:val="20"/>
        </w:rPr>
        <w:t>15:30</w:t>
      </w:r>
      <w:r>
        <w:rPr>
          <w:sz w:val="20"/>
        </w:rPr>
        <w:t>.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Dates subject to change with prior notice</w:t>
      </w:r>
    </w:p>
    <w:p>
      <w:pPr>
        <w:bidi w:val="0"/>
      </w:pPr>
      <w:r>
        <w:t/>
      </w:r>
    </w:p>
    <w:sectPr>
      <w:pgSz w:w="15840" w:h="12240" w:orient="landscape"/>
      <w:pgMar w:top="1440" w:right="1440" w:bottom="1440" w:left="1440" w:header="720" w:footer="57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charset w:val="00"/>
  </w:font>
  <w:font w:name="Tahoma">
    <w:charset w:val="01"/>
  </w:font>
  <w:font w:name="Times New Roman">
    <w:charset w:val="01"/>
  </w:font>
  <w:font w:name="Arial">
    <w:charset w:val="01"/>
  </w:font>
  <w:font w:name="Courier New">
    <w:charset w:val="01"/>
  </w:font>
  <w:font w:name="Symbol">
    <w:charset w:val="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numFmt w:val="bullet"/>
      <w:lvlText w:val="·"/>
      <w:lvlJc w:val="left"/>
      <w:pPr>
        <w:ind w:left="150" w:hanging="360"/>
        <w:tab w:val="num" w:pos="150"/>
      </w:pPr>
      <w:rPr>
        <w:rFonts w:ascii="Symbol" w:hAnsi="Symbol" w:cs="Symbol" w:eastAsia="Symbol"/>
        <w:b w:val="0"/>
        <w:i w:val="0"/>
        <w:strike w:val="0"/>
        <w:sz w:val="24"/>
        <w:color w:val="auto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ontents 1"/>
    <w:basedOn w:val="34"/>
    <w:next w:val="34"/>
    <w:pPr>
      <w:ind w:left="720" w:hanging="435"/>
    </w:pPr>
  </w:style>
  <w:style w:type="paragraph" w:styleId="1">
    <w:name w:val="Contents 2"/>
    <w:basedOn w:val="34"/>
    <w:next w:val="34"/>
    <w:pPr>
      <w:ind w:left="1440" w:hanging="435"/>
    </w:pPr>
  </w:style>
  <w:style w:type="paragraph" w:styleId="2">
    <w:name w:val="Contents 3"/>
    <w:basedOn w:val="34"/>
    <w:next w:val="34"/>
    <w:pPr>
      <w:ind w:left="2160" w:hanging="435"/>
    </w:pPr>
  </w:style>
  <w:style w:type="paragraph" w:styleId="3">
    <w:name w:val="Lower Roman List"/>
    <w:basedOn w:val="34"/>
    <w:pPr>
      <w:ind w:left="720" w:hanging="435"/>
    </w:pPr>
  </w:style>
  <w:style w:type="paragraph" w:styleId="4">
    <w:name w:val="Numbered Heading 1"/>
    <w:basedOn w:val="24"/>
    <w:next w:val="34"/>
    <w:pPr>
      <w:keepNext w:val="0"/>
      <w:spacing w:before="0" w:after="0"/>
      <w:tabs>
        <w:tab w:val="left" w:pos="435"/>
        <w:tab w:val="clear" w:pos="0"/>
      </w:tabs>
    </w:pPr>
    <w:rPr>
      <w:b w:val="0"/>
      <w:sz w:val="24"/>
    </w:rPr>
  </w:style>
  <w:style w:type="paragraph" w:styleId="5">
    <w:name w:val="Numbered Heading 2"/>
    <w:basedOn w:val="25"/>
    <w:next w:val="34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6">
    <w:name w:val="Square List"/>
    <w:pPr>
      <w:ind w:left="720" w:hanging="435"/>
    </w:pPr>
    <w:rPr>
      <w:rFonts w:ascii="Tahoma" w:hAnsi="Tahoma" w:cs="Tahoma" w:eastAsia="Tahoma"/>
      <w:sz w:val="24"/>
    </w:rPr>
  </w:style>
  <w:style w:type="character" w:default="1" w:styleId="def">
    <w:name w:val="Default Paragraph Font"/>
    <w:uiPriority w:val="1"/>
    <w:semiHidden/>
    <w:unhideWhenUsed/>
  </w:style>
  <w:style w:type="paragraph" w:styleId="7">
    <w:name w:val="Endnote Text"/>
    <w:basedOn w:val="34"/>
    <w:link w:val="c7"/>
  </w:style>
  <w:style w:type="character" w:styleId="c7">
    <w:name w:val="Endnote Text Text"/>
    <w:basedOn w:val="def"/>
    <w:link w:val="7"/>
  </w:style>
  <w:style w:type="paragraph" w:styleId="8">
    <w:name w:val="Body Text"/>
    <w:basedOn w:val="34"/>
    <w:pPr>
      <w:spacing w:after="120"/>
    </w:pPr>
    <w:rPr>
      <w:rFonts w:ascii="Times New Roman" w:hAnsi="Times New Roman" w:cs="Times New Roman" w:eastAsia="Times New Roman"/>
    </w:rPr>
  </w:style>
  <w:style w:type="paragraph" w:styleId="9">
    <w:name w:val="Contents 4"/>
    <w:basedOn w:val="34"/>
    <w:next w:val="34"/>
    <w:pPr>
      <w:ind w:left="2880" w:hanging="435"/>
    </w:pPr>
  </w:style>
  <w:style w:type="paragraph" w:styleId="10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11">
    <w:name w:val="Numbered List"/>
    <w:pPr>
      <w:ind w:left="720" w:hanging="435"/>
    </w:pPr>
    <w:rPr>
      <w:rFonts w:ascii="Tahoma" w:hAnsi="Tahoma" w:cs="Tahoma" w:eastAsia="Tahoma"/>
      <w:sz w:val="24"/>
    </w:rPr>
  </w:style>
  <w:style w:type="character" w:styleId="c12">
    <w:name w:val="Endnote Reference"/>
    <w:basedOn w:val="def"/>
    <w:rPr>
      <w:rFonts w:ascii="Tahoma" w:hAnsi="Tahoma" w:cs="Tahoma" w:eastAsia="Tahoma"/>
      <w:vertAlign w:val="superscript"/>
    </w:rPr>
  </w:style>
  <w:style w:type="paragraph" w:styleId="13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14">
    <w:name w:val="Numbered Heading 3"/>
    <w:basedOn w:val="26"/>
    <w:next w:val="34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15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16">
    <w:name w:val="Upper Roman List"/>
    <w:basedOn w:val="11"/>
  </w:style>
  <w:style w:type="paragraph" w:styleId="17">
    <w:name w:val="Heading 4"/>
    <w:basedOn w:val="34"/>
    <w:next w:val="34"/>
    <w:pPr>
      <w:spacing w:before="435" w:after="60"/>
    </w:pPr>
    <w:rPr>
      <w:rFonts w:ascii="Arial" w:hAnsi="Arial" w:cs="Arial" w:eastAsia="Arial"/>
      <w:b/>
    </w:rPr>
  </w:style>
  <w:style w:type="paragraph" w:styleId="18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19">
    <w:name w:val="Table Normal"/>
    <w:rPr>
      <w:rFonts w:ascii="Tahoma" w:hAnsi="Tahoma" w:cs="Tahoma" w:eastAsia="Tahoma"/>
      <w:sz w:val="28"/>
    </w:rPr>
  </w:style>
  <w:style w:type="paragraph" w:styleId="20">
    <w:name w:val="Upper Case List"/>
    <w:basedOn w:val="11"/>
  </w:style>
  <w:style w:type="paragraph" w:styleId="21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23">
    <w:name w:val="Footnote Text"/>
    <w:basedOn w:val="34"/>
    <w:link w:val="c23"/>
    <w:rPr>
      <w:sz w:val="20"/>
    </w:rPr>
  </w:style>
  <w:style w:type="character" w:styleId="c23">
    <w:name w:val="Footnote Text Text"/>
    <w:basedOn w:val="def"/>
    <w:link w:val="23"/>
    <w:rPr>
      <w:sz w:val="20"/>
    </w:rPr>
  </w:style>
  <w:style w:type="paragraph" w:styleId="24">
    <w:name w:val="Heading 1"/>
    <w:basedOn w:val="34"/>
    <w:next w:val="34"/>
    <w:pPr>
      <w:keepNext/>
      <w:spacing w:before="435" w:after="60"/>
    </w:pPr>
    <w:rPr>
      <w:b/>
      <w:sz w:val="28"/>
    </w:rPr>
  </w:style>
  <w:style w:type="paragraph" w:styleId="25">
    <w:name w:val="Heading 2"/>
    <w:basedOn w:val="34"/>
    <w:next w:val="34"/>
    <w:pPr>
      <w:spacing w:before="435" w:after="60"/>
    </w:pPr>
    <w:rPr>
      <w:rFonts w:ascii="Arial" w:hAnsi="Arial" w:cs="Arial" w:eastAsia="Arial"/>
      <w:b/>
      <w:sz w:val="28"/>
    </w:rPr>
  </w:style>
  <w:style w:type="paragraph" w:styleId="26">
    <w:name w:val="Heading 3"/>
    <w:basedOn w:val="34"/>
    <w:next w:val="34"/>
    <w:pPr>
      <w:spacing w:before="435" w:after="60"/>
    </w:pPr>
    <w:rPr>
      <w:rFonts w:ascii="Arial" w:hAnsi="Arial" w:cs="Arial" w:eastAsia="Arial"/>
      <w:b/>
    </w:rPr>
  </w:style>
  <w:style w:type="paragraph" w:styleId="27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28">
    <w:name w:val="Contents Header"/>
    <w:basedOn w:val="34"/>
    <w:next w:val="34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29">
    <w:name w:val="Lower Case List"/>
    <w:basedOn w:val="11"/>
  </w:style>
  <w:style w:type="paragraph" w:styleId="30">
    <w:name w:val="Block Text"/>
    <w:basedOn w:val="34"/>
    <w:pPr>
      <w:ind w:left="1440" w:right="1440"/>
      <w:spacing w:after="120"/>
    </w:pPr>
  </w:style>
  <w:style w:type="paragraph" w:styleId="31">
    <w:name w:val="Plain Text"/>
    <w:basedOn w:val="34"/>
    <w:rPr>
      <w:rFonts w:ascii="Courier New" w:hAnsi="Courier New" w:cs="Courier New" w:eastAsia="Courier New"/>
    </w:rPr>
  </w:style>
  <w:style w:type="paragraph" w:styleId="32">
    <w:name w:val="Section Heading"/>
    <w:basedOn w:val="4"/>
    <w:next w:val="34"/>
    <w:pPr>
      <w:tabs>
        <w:tab w:val="clear" w:pos="0"/>
        <w:tab w:val="clear" w:pos="435"/>
        <w:tab w:val="left" w:pos="1590"/>
      </w:tabs>
    </w:pPr>
  </w:style>
  <w:style w:type="paragraph" w:styleId="33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default="1" w:styleId="34">
    <w:name w:val="Normal"/>
    <w:rPr>
      <w:rFonts w:ascii="Tahoma" w:hAnsi="Tahoma" w:cs="Tahoma" w:eastAsia="Tahoma"/>
      <w:sz w:val="24"/>
    </w:rPr>
  </w:style>
  <w:style w:type="paragraph" w:styleId="35">
    <w:name w:val="Star List"/>
    <w:pPr>
      <w:ind w:left="720" w:hanging="435"/>
    </w:pPr>
    <w:rPr>
      <w:rFonts w:ascii="Tahoma" w:hAnsi="Tahoma" w:cs="Tahoma" w:eastAsia="Tahoma"/>
      <w:sz w:val="24"/>
    </w:rPr>
  </w:style>
  <w:style w:type="character" w:styleId="c36">
    <w:name w:val="Footnote Reference"/>
    <w:basedOn w:val="def"/>
    <w:rPr>
      <w:rFonts w:ascii="Tahoma" w:hAnsi="Tahoma" w:cs="Tahoma" w:eastAsia="Tahoma"/>
      <w:vertAlign w:val="superscript"/>
    </w:rPr>
  </w:style>
  <w:style w:type="paragraph" w:styleId="37">
    <w:name w:val="Chapter Heading"/>
    <w:basedOn w:val="4"/>
    <w:next w:val="34"/>
    <w:pPr>
      <w:tabs>
        <w:tab w:val="clear" w:pos="0"/>
        <w:tab w:val="clear" w:pos="435"/>
        <w:tab w:val="left" w:pos="1590"/>
      </w:tabs>
    </w:pPr>
  </w:style>
  <w:style w:type="paragraph" w:styleId="38">
    <w:name w:val="Box List"/>
    <w:pPr>
      <w:ind w:left="720" w:hanging="435"/>
    </w:pPr>
    <w:rPr>
      <w:rFonts w:ascii="Tahoma" w:hAnsi="Tahoma" w:cs="Tahoma" w:eastAsia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Nm" Type="http://schemas.openxmlformats.org/officeDocument/2006/relationships/numbering" Target="numbering.xml"/><Relationship Id="rIdSet" Type="http://schemas.openxmlformats.org/officeDocument/2006/relationships/settings" Target="settings.xml"/></Relationships>
</file>