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3"/>
              <w:bidi w:val="0"/>
              <w:spacing w:before="240"/>
            </w:pPr>
            <w:r>
              <w:rPr>
                <w:sz w:val="40"/>
              </w:rPr>
              <w:t>O</w:t>
            </w:r>
            <w:r>
              <w:rPr>
                <w:sz w:val="36"/>
              </w:rPr>
              <w:t>ESSKATTINGSKOMITEE</w:t>
            </w:r>
          </w:p>
        </w:tc>
        <w:tc>
          <w:tcPr>
            <w:tcW w:w="3240" w:type="dxa"/>
            <w:shd w:val="clear" w:color="auto" w:fill="FFFFFF"/>
          </w:tcPr>
          <w:p>
            <w:pPr>
              <w:pStyle w:val="1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1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23 Oktober/ October 2008</w:t>
      </w:r>
    </w:p>
    <w:p>
      <w:pPr>
        <w:pStyle w:val="27"/>
        <w:jc w:val="left"/>
        <w:ind w:right="-60"/>
        <w:bidi w:val="0"/>
        <w:spacing w:after="60"/>
      </w:pPr>
      <w:r>
        <w:t/>
      </w:r>
    </w:p>
    <w:p>
      <w:pPr>
        <w:pStyle w:val="27"/>
        <w:jc w:val="left"/>
        <w:ind w:right="-60"/>
        <w:bidi w:val="0"/>
        <w:spacing w:after="60"/>
      </w:pPr>
      <w:r>
        <w:rPr>
          <w:sz w:val="14"/>
        </w:rPr>
        <w:t>SOMERGEWASSE – VOORNEME OM TE PLANT: 2008/09-SEISOEN</w:t>
      </w:r>
    </w:p>
    <w:p>
      <w:pPr>
        <w:bidi w:val="0"/>
      </w:pPr>
      <w:r>
        <w:rPr>
          <w:rFonts w:ascii="Tahoma" w:hAnsi="Tahoma" w:cs="Tahoma" w:eastAsia="Tahoma"/>
          <w:sz w:val="14"/>
        </w:rPr>
        <w:t>SUMMER CROPS – INTENTIONS TO PLANT: 2008/09 SEASON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105" w:type="dxa"/>
      </w:tblPr>
      <w:tblGrid>
        <w:gridCol w:w="2415"/>
        <w:gridCol w:w="2025"/>
        <w:gridCol w:w="1980"/>
        <w:gridCol w:w="1995"/>
        <w:gridCol w:w="1620"/>
      </w:tblGrid>
      <w:tr>
        <w:tc>
          <w:tcPr>
            <w:tcW w:w="2420" w:type="dxa"/>
            <w:shd w:val="clear" w:color="auto" w:fill="FFFFFF"/>
          </w:tcPr>
          <w:p>
            <w:pPr>
              <w:pStyle w:val="27"/>
              <w:jc w:val="both"/>
              <w:ind w:right="-60"/>
              <w:bidi w:val="0"/>
              <w:spacing w:before="360"/>
            </w:pPr>
            <w:r>
              <w:rPr>
                <w:sz w:val="14"/>
              </w:rPr>
              <w:t>EWAS/CROP</w:t>
            </w:r>
          </w:p>
        </w:tc>
        <w:tc>
          <w:tcPr>
            <w:tcW w:w="2030" w:type="dxa"/>
            <w:shd w:val="clear" w:color="auto" w:fill="FFFFFF"/>
          </w:tcPr>
          <w:p>
            <w:pPr>
              <w:pStyle w:val="27"/>
              <w:jc w:val="both"/>
              <w:ind w:right="-60"/>
              <w:bidi w:val="0"/>
              <w:spacing w:before="360"/>
            </w:pPr>
            <w:r>
              <w:rPr>
                <w:u w:val="none"/>
              </w:rPr>
              <w:t/>
            </w:r>
          </w:p>
          <w:p>
            <w:pPr>
              <w:pStyle w:val="27"/>
              <w:ind w:right="-60"/>
              <w:bidi w:val="0"/>
              <w:spacing w:before="60"/>
            </w:pPr>
            <w:r>
              <w:rPr>
                <w:sz w:val="14"/>
              </w:rPr>
              <w:t>Voorneme/</w:t>
            </w:r>
          </w:p>
          <w:p>
            <w:pPr>
              <w:pStyle w:val="27"/>
              <w:ind w:right="-60"/>
              <w:bidi w:val="0"/>
            </w:pPr>
            <w:r>
              <w:rPr>
                <w:sz w:val="14"/>
              </w:rPr>
              <w:t>Intentions</w:t>
            </w:r>
          </w:p>
          <w:p>
            <w:pPr>
              <w:pStyle w:val="27"/>
              <w:ind w:right="-60"/>
              <w:bidi w:val="0"/>
            </w:pPr>
            <w:r>
              <w:rPr>
                <w:sz w:val="14"/>
              </w:rPr>
              <w:t>2008/09</w:t>
            </w:r>
          </w:p>
        </w:tc>
        <w:tc>
          <w:tcPr>
            <w:tcW w:w="1980" w:type="dxa"/>
            <w:shd w:val="clear" w:color="auto" w:fill="FFFFFF"/>
          </w:tcPr>
          <w:p>
            <w:pPr>
              <w:pStyle w:val="27"/>
              <w:ind w:right="-60"/>
              <w:bidi w:val="0"/>
            </w:pPr>
            <w:r>
              <w:rPr>
                <w:u w:val="none"/>
              </w:rPr>
              <w:t/>
            </w:r>
          </w:p>
          <w:p>
            <w:pPr>
              <w:pStyle w:val="27"/>
              <w:ind w:right="-60"/>
              <w:bidi w:val="0"/>
              <w:spacing w:before="60"/>
            </w:pPr>
            <w:r>
              <w:rPr>
                <w:sz w:val="14"/>
              </w:rPr>
              <w:t>Opp beplant/</w:t>
            </w:r>
          </w:p>
          <w:p>
            <w:pPr>
              <w:pStyle w:val="27"/>
              <w:ind w:right="-60"/>
              <w:bidi w:val="0"/>
            </w:pPr>
            <w:r>
              <w:rPr>
                <w:sz w:val="14"/>
              </w:rPr>
              <w:t>Area planted</w:t>
            </w:r>
          </w:p>
          <w:p>
            <w:pPr>
              <w:pStyle w:val="27"/>
              <w:ind w:right="-60"/>
              <w:bidi w:val="0"/>
            </w:pPr>
            <w:r>
              <w:rPr>
                <w:sz w:val="14"/>
              </w:rPr>
              <w:t>2007/08</w:t>
            </w:r>
          </w:p>
        </w:tc>
        <w:tc>
          <w:tcPr>
            <w:tcW w:w="1990" w:type="dxa"/>
            <w:shd w:val="clear" w:color="auto" w:fill="FFFFFF"/>
          </w:tcPr>
          <w:p>
            <w:pPr>
              <w:pStyle w:val="27"/>
              <w:ind w:right="-60"/>
              <w:bidi w:val="0"/>
            </w:pPr>
            <w:r>
              <w:rPr>
                <w:u w:val="none"/>
              </w:rPr>
              <w:t/>
            </w:r>
          </w:p>
          <w:p>
            <w:pPr>
              <w:jc w:val="center"/>
              <w:bidi w:val="0"/>
              <w:spacing w:before="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r>
              <w:rPr>
                <w:rFonts w:ascii="Tahoma" w:hAnsi="Tahoma" w:cs="Tahoma" w:eastAsia="Tahoma"/>
                <w:vertAlign w:val="superscript"/>
                <w:sz w:val="14"/>
              </w:rPr>
              <w:t>1)</w:t>
            </w:r>
            <w:r>
              <w:rPr>
                <w:rFonts w:ascii="Tahoma" w:hAnsi="Tahoma" w:cs="Tahoma" w:eastAsia="Tahoma"/>
                <w:sz w:val="14"/>
              </w:rPr>
              <w: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r>
              <w:rPr>
                <w:rFonts w:ascii="Tahoma" w:hAnsi="Tahoma" w:cs="Tahoma" w:eastAsia="Tahoma"/>
                <w:vertAlign w:val="superscript"/>
                <w:sz w:val="14"/>
              </w:rPr>
              <w:t>1)</w:t>
            </w:r>
          </w:p>
          <w:p>
            <w:pPr>
              <w:pStyle w:val="27"/>
              <w:ind w:right="-60"/>
              <w:bidi w:val="0"/>
            </w:pPr>
            <w:r>
              <w:rPr>
                <w:sz w:val="14"/>
              </w:rPr>
              <w:t>2007/08</w:t>
            </w:r>
          </w:p>
        </w:tc>
        <w:tc>
          <w:tcPr>
            <w:tcW w:w="1620" w:type="dxa"/>
            <w:shd w:val="clear" w:color="auto" w:fill="FFFFFF"/>
          </w:tcPr>
          <w:p>
            <w:pPr>
              <w:pStyle w:val="27"/>
              <w:ind w:right="-60"/>
              <w:bidi w:val="0"/>
            </w:pPr>
            <w:r>
              <w:rPr>
                <w:u w:val="none"/>
              </w:rPr>
              <w:t/>
            </w:r>
          </w:p>
          <w:p>
            <w:pPr>
              <w:pStyle w:val="27"/>
              <w:ind w:right="-60"/>
              <w:bidi w:val="0"/>
              <w:spacing w:before="60"/>
            </w:pPr>
            <w:r>
              <w:rPr>
                <w:sz w:val="14"/>
              </w:rPr>
              <w:t>Verandering/</w:t>
            </w:r>
          </w:p>
          <w:p>
            <w:pPr>
              <w:pStyle w:val="27"/>
              <w:ind w:right="-60"/>
              <w:bidi w:val="0"/>
            </w:pPr>
            <w:r>
              <w:rPr>
                <w:sz w:val="14"/>
              </w:rPr>
              <w:t>Change</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2030" w:type="dxa"/>
            <w:shd w:val="clear" w:color="auto" w:fill="FFFFFF"/>
          </w:tcPr>
          <w:p>
            <w:pPr>
              <w:pStyle w:val="27"/>
              <w:ind w:right="-60"/>
              <w:bidi w:val="0"/>
              <w:spacing w:before="15" w:after="15"/>
            </w:pPr>
            <w:r>
              <w:rPr>
                <w:sz w:val="14"/>
              </w:rPr>
              <w:t>Ha</w:t>
            </w:r>
          </w:p>
        </w:tc>
        <w:tc>
          <w:tcPr>
            <w:tcW w:w="198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9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6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2030" w:type="dxa"/>
            <w:shd w:val="clear" w:color="auto" w:fill="FFFFFF"/>
          </w:tcPr>
          <w:p>
            <w:pPr>
              <w:pStyle w:val="27"/>
              <w:ind w:right="-60"/>
              <w:bidi w:val="0"/>
              <w:spacing w:before="15" w:after="15"/>
            </w:pPr>
            <w:r>
              <w:rPr>
                <w:sz w:val="14"/>
              </w:rPr>
              <w:t>soos middel Oktober 2008/</w:t>
            </w:r>
          </w:p>
          <w:p>
            <w:pPr>
              <w:pStyle w:val="27"/>
              <w:ind w:right="-60"/>
              <w:bidi w:val="0"/>
              <w:spacing w:before="15" w:after="15"/>
            </w:pPr>
            <w:r>
              <w:rPr>
                <w:sz w:val="14"/>
              </w:rPr>
              <w:t>as mid October 2008</w:t>
            </w:r>
          </w:p>
        </w:tc>
        <w:tc>
          <w:tcPr>
            <w:tcW w:w="1980" w:type="dxa"/>
            <w:shd w:val="clear" w:color="auto" w:fill="FFFFFF"/>
          </w:tcPr>
          <w:p>
            <w:pPr>
              <w:pStyle w:val="27"/>
              <w:ind w:right="-60"/>
              <w:bidi w:val="0"/>
              <w:spacing w:before="15" w:after="15"/>
            </w:pPr>
            <w:r>
              <w:rPr>
                <w:u w:val="none"/>
              </w:rPr>
              <w:t/>
            </w:r>
          </w:p>
          <w:p>
            <w:pPr>
              <w:pStyle w:val="27"/>
              <w:ind w:right="-60"/>
              <w:bidi w:val="0"/>
              <w:spacing w:before="15" w:after="15"/>
            </w:pPr>
            <w:r>
              <w:rPr>
                <w:u w:val="none"/>
              </w:rPr>
              <w:t/>
            </w:r>
          </w:p>
        </w:tc>
        <w:tc>
          <w:tcPr>
            <w:tcW w:w="1990" w:type="dxa"/>
            <w:shd w:val="clear" w:color="auto" w:fill="FFFFFF"/>
          </w:tcPr>
          <w:p>
            <w:pPr>
              <w:pStyle w:val="27"/>
              <w:ind w:right="-60"/>
              <w:bidi w:val="0"/>
              <w:spacing w:before="15" w:after="15"/>
            </w:pPr>
            <w:r>
              <w:rPr>
                <w:u w:val="none"/>
              </w:rPr>
              <w:t/>
            </w:r>
          </w:p>
        </w:tc>
        <w:tc>
          <w:tcPr>
            <w:tcW w:w="1620" w:type="dxa"/>
            <w:shd w:val="clear" w:color="auto" w:fill="FFFFFF"/>
          </w:tcPr>
          <w:p>
            <w:pPr>
              <w:pStyle w:val="27"/>
              <w:ind w:right="-60"/>
              <w:bidi w:val="0"/>
              <w:spacing w:before="15" w:after="15"/>
            </w:pPr>
            <w:r>
              <w:rPr>
                <w:u w:val="none"/>
              </w:rPr>
              <w:t/>
            </w:r>
          </w:p>
        </w:tc>
      </w:tr>
      <w:tr>
        <w:tc>
          <w:tcPr>
            <w:tcW w:w="2420" w:type="dxa"/>
            <w:shd w:val="clear" w:color="auto" w:fill="FFFFFF"/>
          </w:tcPr>
          <w:p>
            <w:pPr>
              <w:pStyle w:val="27"/>
              <w:jc w:val="both"/>
              <w:ind w:right="-60"/>
              <w:bidi w:val="0"/>
              <w:spacing w:before="15" w:after="15"/>
            </w:pPr>
            <w:r>
              <w:rPr>
                <w:u w:val="none"/>
              </w:rPr>
              <w:t/>
            </w:r>
          </w:p>
        </w:tc>
        <w:tc>
          <w:tcPr>
            <w:tcW w:w="2030" w:type="dxa"/>
            <w:shd w:val="clear" w:color="auto" w:fill="FFFFFF"/>
          </w:tcPr>
          <w:p>
            <w:pPr>
              <w:pStyle w:val="27"/>
              <w:ind w:right="-60"/>
              <w:bidi w:val="0"/>
              <w:spacing w:before="15" w:after="15"/>
            </w:pPr>
            <w:r>
              <w:rPr>
                <w:sz w:val="14"/>
              </w:rPr>
              <w:t>(A)</w:t>
            </w:r>
          </w:p>
        </w:tc>
        <w:tc>
          <w:tcPr>
            <w:tcW w:w="198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9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6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(A) ÷ (B)</w:t>
            </w:r>
          </w:p>
        </w:tc>
      </w:tr>
      <w:tr>
        <w:tc>
          <w:tcPr>
            <w:tcW w:w="10040" w:type="dxa"/>
            <w:gridSpan w:val="5"/>
            <w:shd w:val="clear" w:color="auto" w:fill="FFFFFF"/>
          </w:tcPr>
          <w:p>
            <w:pPr>
              <w:pStyle w:val="27"/>
              <w:ind w:right="-60"/>
              <w:bidi w:val="0"/>
              <w:spacing w:before="15" w:after="15"/>
            </w:pPr>
            <w:r>
              <w:rPr>
                <w:u w:val="none"/>
              </w:rPr>
              <w:t/>
            </w:r>
          </w:p>
          <w:p>
            <w:pPr>
              <w:pStyle w:val="27"/>
              <w:jc w:val="left"/>
              <w:ind w:right="-105"/>
              <w:bidi w:val="0"/>
            </w:pPr>
            <w:r>
              <w:rPr>
                <w:sz w:val="14"/>
              </w:rPr>
              <w:t>Kommersieël/Commercial:</w:t>
            </w:r>
          </w:p>
        </w:tc>
      </w:tr>
      <w:tr>
        <w:tc>
          <w:tcPr>
            <w:tcW w:w="2420" w:type="dxa"/>
            <w:shd w:val="clear" w:color="auto" w:fill="FFFFFF"/>
          </w:tcPr>
          <w:p>
            <w:pPr>
              <w:pStyle w:val="27"/>
              <w:jc w:val="left"/>
              <w:ind w:right="-105"/>
              <w:bidi w:val="0"/>
            </w:pPr>
            <w:r>
              <w:rPr>
                <w:u w:val="none"/>
              </w:rPr>
              <w:t/>
            </w:r>
          </w:p>
          <w:p>
            <w:pPr>
              <w:pStyle w:val="27"/>
              <w:jc w:val="both"/>
              <w:ind w:right="-105" w:firstLine="180"/>
              <w:bidi w:val="0"/>
            </w:pPr>
            <w:r>
              <w:rPr>
                <w:sz w:val="14"/>
              </w:rPr>
              <w:t>Witmielies/White maize</w:t>
            </w:r>
          </w:p>
        </w:tc>
        <w:tc>
          <w:tcPr>
            <w:tcW w:w="2030" w:type="dxa"/>
            <w:shd w:val="clear" w:color="auto" w:fill="FFFFFF"/>
          </w:tcPr>
          <w:p>
            <w:pPr>
              <w:pStyle w:val="27"/>
              <w:jc w:val="both"/>
              <w:ind w:right="-105" w:firstLine="180"/>
              <w:bidi w:val="0"/>
            </w:pPr>
            <w:r>
              <w:rPr>
                <w:u w:val="none"/>
              </w:rPr>
              <w:t/>
            </w:r>
          </w:p>
          <w:p>
            <w:pPr>
              <w:pStyle w:val="27"/>
              <w:jc w:val="right"/>
              <w:ind w:right="165"/>
              <w:bidi w:val="0"/>
            </w:pPr>
            <w:r>
              <w:rPr>
                <w:sz w:val="14"/>
              </w:rPr>
              <w:t>1  600  000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1  737  000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7 098 250</w:t>
            </w:r>
          </w:p>
        </w:tc>
        <w:tc>
          <w:tcPr>
            <w:tcW w:w="1620" w:type="dxa"/>
            <w:shd w:val="clear" w:color="auto" w:fill="FFFFFF"/>
          </w:tcPr>
          <w:p>
            <w:pPr>
              <w:pStyle w:val="27"/>
              <w:jc w:val="right"/>
              <w:ind w:right="165"/>
              <w:bidi w:val="0"/>
            </w:pPr>
            <w:r>
              <w:rPr>
                <w:u w:val="none"/>
              </w:rPr>
              <w:t/>
            </w:r>
          </w:p>
          <w:p>
            <w:pPr>
              <w:jc w:val="right"/>
              <w:ind w:right="105"/>
              <w:bidi w:val="0"/>
            </w:pPr>
            <w:r>
              <w:rPr>
                <w:rFonts w:ascii="Tahoma" w:hAnsi="Tahoma" w:cs="Tahoma" w:eastAsia="Tahoma"/>
                <w:sz w:val="14"/>
              </w:rPr>
              <w:t>-7,9</w:t>
            </w:r>
          </w:p>
        </w:tc>
      </w:tr>
      <w:tr>
        <w:tc>
          <w:tcPr>
            <w:tcW w:w="2420" w:type="dxa"/>
            <w:shd w:val="clear" w:color="auto" w:fill="FFFFFF"/>
          </w:tcPr>
          <w:p>
            <w:pPr>
              <w:jc w:val="right"/>
              <w:ind w:right="105"/>
              <w:bidi w:val="0"/>
            </w:pPr>
            <w:r>
              <w:rPr>
                <w:rFonts w:ascii="Tahoma" w:hAnsi="Tahoma" w:cs="Tahoma" w:eastAsia="Tahoma"/>
              </w:rPr>
              <w:t/>
            </w:r>
          </w:p>
          <w:p>
            <w:pPr>
              <w:pStyle w:val="27"/>
              <w:jc w:val="both"/>
              <w:ind w:right="-105" w:firstLine="180"/>
              <w:bidi w:val="0"/>
            </w:pPr>
            <w:r>
              <w:rPr>
                <w:sz w:val="14"/>
              </w:rPr>
              <w:t>Geelmielies/Yellow maize</w:t>
            </w:r>
          </w:p>
        </w:tc>
        <w:tc>
          <w:tcPr>
            <w:tcW w:w="2030" w:type="dxa"/>
            <w:shd w:val="clear" w:color="auto" w:fill="FFFFFF"/>
          </w:tcPr>
          <w:p>
            <w:pPr>
              <w:pStyle w:val="27"/>
              <w:jc w:val="both"/>
              <w:ind w:right="-105" w:firstLine="180"/>
              <w:bidi w:val="0"/>
            </w:pPr>
            <w:r>
              <w:rPr>
                <w:u w:val="none"/>
              </w:rPr>
              <w:t/>
            </w:r>
          </w:p>
          <w:p>
            <w:pPr>
              <w:pStyle w:val="27"/>
              <w:jc w:val="right"/>
              <w:ind w:right="165"/>
              <w:bidi w:val="0"/>
            </w:pPr>
            <w:r>
              <w:rPr>
                <w:sz w:val="14"/>
              </w:rPr>
              <w:t>962  000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1  062  000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4 922 900</w:t>
            </w:r>
          </w:p>
        </w:tc>
        <w:tc>
          <w:tcPr>
            <w:tcW w:w="1620" w:type="dxa"/>
            <w:shd w:val="clear" w:color="auto" w:fill="FFFFFF"/>
          </w:tcPr>
          <w:p>
            <w:pPr>
              <w:pStyle w:val="27"/>
              <w:jc w:val="right"/>
              <w:ind w:right="165"/>
              <w:bidi w:val="0"/>
            </w:pPr>
            <w:r>
              <w:rPr>
                <w:u w:val="none"/>
              </w:rPr>
              <w:t/>
            </w:r>
          </w:p>
          <w:p>
            <w:pPr>
              <w:jc w:val="right"/>
              <w:ind w:right="105"/>
              <w:bidi w:val="0"/>
            </w:pPr>
            <w:r>
              <w:rPr>
                <w:rFonts w:ascii="Tahoma" w:hAnsi="Tahoma" w:cs="Tahoma" w:eastAsia="Tahoma"/>
                <w:sz w:val="14"/>
              </w:rPr>
              <w:t>-9,4</w:t>
            </w:r>
          </w:p>
        </w:tc>
      </w:tr>
      <w:tr>
        <w:tc>
          <w:tcPr>
            <w:tcW w:w="2420" w:type="dxa"/>
            <w:shd w:val="clear" w:color="auto" w:fill="FFFFFF"/>
          </w:tcPr>
          <w:p>
            <w:pPr>
              <w:jc w:val="right"/>
              <w:ind w:right="105"/>
              <w:bidi w:val="0"/>
            </w:pPr>
            <w:r>
              <w:rPr>
                <w:rFonts w:ascii="Tahoma" w:hAnsi="Tahoma" w:cs="Tahoma" w:eastAsia="Tahoma"/>
              </w:rPr>
              <w:t/>
            </w:r>
          </w:p>
          <w:p>
            <w:pPr>
              <w:pStyle w:val="27"/>
              <w:jc w:val="left"/>
              <w:ind w:right="75"/>
              <w:bidi w:val="0"/>
            </w:pPr>
            <w:r>
              <w:rPr>
                <w:sz w:val="14"/>
              </w:rPr>
              <w:t>Mielies/Maize</w:t>
            </w:r>
          </w:p>
        </w:tc>
        <w:tc>
          <w:tcPr>
            <w:tcW w:w="2030" w:type="dxa"/>
            <w:shd w:val="clear" w:color="auto" w:fill="FFFFFF"/>
          </w:tcPr>
          <w:p>
            <w:pPr>
              <w:pStyle w:val="27"/>
              <w:jc w:val="left"/>
              <w:ind w:right="75"/>
              <w:bidi w:val="0"/>
            </w:pPr>
            <w:r>
              <w:rPr>
                <w:u w:val="none"/>
              </w:rPr>
              <w:t/>
            </w:r>
          </w:p>
          <w:p>
            <w:pPr>
              <w:pStyle w:val="27"/>
              <w:jc w:val="right"/>
              <w:ind w:right="165"/>
              <w:bidi w:val="0"/>
            </w:pPr>
            <w:r>
              <w:rPr>
                <w:sz w:val="14"/>
              </w:rPr>
              <w:t>2  562  000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2  799  000</w:t>
            </w:r>
          </w:p>
        </w:tc>
        <w:tc>
          <w:tcPr>
            <w:tcW w:w="1990" w:type="dxa"/>
            <w:shd w:val="clear" w:color="auto" w:fill="FFFFFF"/>
          </w:tcPr>
          <w:p>
            <w:pPr>
              <w:pStyle w:val="27"/>
              <w:jc w:val="right"/>
              <w:ind w:right="165"/>
              <w:bidi w:val="0"/>
            </w:pPr>
            <w:r>
              <w:rPr>
                <w:u w:val="none"/>
              </w:rPr>
              <w:t/>
            </w:r>
          </w:p>
          <w:p>
            <w:pPr>
              <w:pStyle w:val="27"/>
              <w:jc w:val="right"/>
              <w:ind w:left="-15" w:right="165" w:hanging="15"/>
              <w:bidi w:val="0"/>
            </w:pPr>
            <w:r>
              <w:rPr>
                <w:sz w:val="14"/>
              </w:rPr>
              <w:t>12 021 150</w:t>
            </w:r>
          </w:p>
        </w:tc>
        <w:tc>
          <w:tcPr>
            <w:tcW w:w="1620" w:type="dxa"/>
            <w:shd w:val="clear" w:color="auto" w:fill="FFFFFF"/>
          </w:tcPr>
          <w:p>
            <w:pPr>
              <w:pStyle w:val="27"/>
              <w:jc w:val="right"/>
              <w:ind w:left="-15" w:right="165" w:hanging="15"/>
              <w:bidi w:val="0"/>
            </w:pPr>
            <w:r>
              <w:rPr>
                <w:u w:val="none"/>
              </w:rPr>
              <w:t/>
            </w:r>
          </w:p>
          <w:p>
            <w:pPr>
              <w:jc w:val="right"/>
              <w:ind w:right="105"/>
              <w:bidi w:val="0"/>
            </w:pPr>
            <w:r>
              <w:rPr>
                <w:rFonts w:ascii="Tahoma" w:hAnsi="Tahoma" w:cs="Tahoma" w:eastAsia="Tahoma"/>
                <w:sz w:val="14"/>
              </w:rPr>
              <w:t>-8,5</w:t>
            </w:r>
          </w:p>
        </w:tc>
      </w:tr>
      <w:tr>
        <w:tc>
          <w:tcPr>
            <w:tcW w:w="2420" w:type="dxa"/>
            <w:shd w:val="clear" w:color="auto" w:fill="FFFFFF"/>
          </w:tcPr>
          <w:p>
            <w:pPr>
              <w:jc w:val="right"/>
              <w:ind w:right="105"/>
              <w:bidi w:val="0"/>
            </w:pPr>
            <w:r>
              <w:rPr>
                <w:rFonts w:ascii="Tahoma" w:hAnsi="Tahoma" w:cs="Tahoma" w:eastAsia="Tahoma"/>
              </w:rPr>
              <w:t/>
            </w:r>
          </w:p>
          <w:p>
            <w:pPr>
              <w:pStyle w:val="27"/>
              <w:jc w:val="both"/>
              <w:ind w:right="-60"/>
              <w:bidi w:val="0"/>
            </w:pPr>
            <w:r>
              <w:rPr>
                <w:sz w:val="14"/>
              </w:rPr>
              <w:t>Sonneblomsaad/Sunflower seed</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586  400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564  300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885 560</w:t>
            </w:r>
          </w:p>
        </w:tc>
        <w:tc>
          <w:tcPr>
            <w:tcW w:w="1620" w:type="dxa"/>
            <w:shd w:val="clear" w:color="auto" w:fill="FFFFFF"/>
          </w:tcPr>
          <w:p>
            <w:pPr>
              <w:pStyle w:val="27"/>
              <w:jc w:val="right"/>
              <w:ind w:right="165"/>
              <w:bidi w:val="0"/>
            </w:pPr>
            <w:r>
              <w:rPr>
                <w:u w:val="none"/>
              </w:rPr>
              <w:t/>
            </w:r>
          </w:p>
          <w:p>
            <w:pPr>
              <w:jc w:val="right"/>
              <w:ind w:right="105"/>
              <w:bidi w:val="0"/>
            </w:pPr>
            <w:r>
              <w:rPr>
                <w:rFonts w:ascii="Tahoma" w:hAnsi="Tahoma" w:cs="Tahoma" w:eastAsia="Tahoma"/>
                <w:sz w:val="14"/>
              </w:rPr>
              <w:t>+3,9</w:t>
            </w:r>
          </w:p>
        </w:tc>
      </w:tr>
      <w:tr>
        <w:tc>
          <w:tcPr>
            <w:tcW w:w="2420" w:type="dxa"/>
            <w:shd w:val="clear" w:color="auto" w:fill="FFFFFF"/>
          </w:tcPr>
          <w:p>
            <w:pPr>
              <w:jc w:val="right"/>
              <w:ind w:right="105"/>
              <w:bidi w:val="0"/>
            </w:pPr>
            <w:r>
              <w:rPr>
                <w:rFonts w:ascii="Tahoma" w:hAnsi="Tahoma" w:cs="Tahoma" w:eastAsia="Tahoma"/>
              </w:rPr>
              <w:t/>
            </w:r>
          </w:p>
          <w:p>
            <w:pPr>
              <w:pStyle w:val="27"/>
              <w:jc w:val="both"/>
              <w:ind w:right="-60"/>
              <w:bidi w:val="0"/>
            </w:pPr>
            <w:r>
              <w:rPr>
                <w:sz w:val="14"/>
              </w:rPr>
              <w:t>Sojabone/Soya-beans</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227  500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165  400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308 295</w:t>
            </w:r>
          </w:p>
        </w:tc>
        <w:tc>
          <w:tcPr>
            <w:tcW w:w="1620" w:type="dxa"/>
            <w:shd w:val="clear" w:color="auto" w:fill="FFFFFF"/>
          </w:tcPr>
          <w:p>
            <w:pPr>
              <w:pStyle w:val="27"/>
              <w:jc w:val="right"/>
              <w:ind w:right="165"/>
              <w:bidi w:val="0"/>
            </w:pPr>
            <w:r>
              <w:rPr>
                <w:u w:val="none"/>
              </w:rPr>
              <w:t/>
            </w:r>
          </w:p>
          <w:p>
            <w:pPr>
              <w:jc w:val="right"/>
              <w:ind w:right="105"/>
              <w:bidi w:val="0"/>
            </w:pPr>
            <w:r>
              <w:rPr>
                <w:rFonts w:ascii="Tahoma" w:hAnsi="Tahoma" w:cs="Tahoma" w:eastAsia="Tahoma"/>
                <w:sz w:val="14"/>
              </w:rPr>
              <w:t>+37,5</w:t>
            </w:r>
          </w:p>
        </w:tc>
      </w:tr>
      <w:tr>
        <w:tc>
          <w:tcPr>
            <w:tcW w:w="2420" w:type="dxa"/>
            <w:shd w:val="clear" w:color="auto" w:fill="FFFFFF"/>
          </w:tcPr>
          <w:p>
            <w:pPr>
              <w:jc w:val="right"/>
              <w:ind w:right="105"/>
              <w:bidi w:val="0"/>
            </w:pPr>
            <w:r>
              <w:rPr>
                <w:rFonts w:ascii="Tahoma" w:hAnsi="Tahoma" w:cs="Tahoma" w:eastAsia="Tahoma"/>
              </w:rPr>
              <w:t/>
            </w:r>
          </w:p>
          <w:p>
            <w:pPr>
              <w:pStyle w:val="27"/>
              <w:jc w:val="both"/>
              <w:ind w:right="-60"/>
              <w:bidi w:val="0"/>
            </w:pPr>
            <w:r>
              <w:rPr>
                <w:sz w:val="14"/>
              </w:rPr>
              <w:t>Grondbone/Groundnuts</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57  500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54  200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85 360</w:t>
            </w:r>
          </w:p>
        </w:tc>
        <w:tc>
          <w:tcPr>
            <w:tcW w:w="1620" w:type="dxa"/>
            <w:shd w:val="clear" w:color="auto" w:fill="FFFFFF"/>
          </w:tcPr>
          <w:p>
            <w:pPr>
              <w:pStyle w:val="27"/>
              <w:jc w:val="right"/>
              <w:ind w:right="165"/>
              <w:bidi w:val="0"/>
            </w:pPr>
            <w:r>
              <w:rPr>
                <w:u w:val="none"/>
              </w:rPr>
              <w:t/>
            </w:r>
          </w:p>
          <w:p>
            <w:pPr>
              <w:bidi w:val="0"/>
            </w:pPr>
            <w:r>
              <w:rPr>
                <w:rFonts w:ascii="Tahoma" w:hAnsi="Tahoma" w:cs="Tahoma" w:eastAsia="Tahoma"/>
                <w:sz w:val="14"/>
              </w:rPr>
              <w:t>+6,1</w:t>
            </w:r>
          </w:p>
        </w:tc>
      </w:tr>
      <w:tr>
        <w:tc>
          <w:tcPr>
            <w:tcW w:w="2420" w:type="dxa"/>
            <w:shd w:val="clear" w:color="auto" w:fill="FFFFFF"/>
          </w:tcPr>
          <w:p>
            <w:pPr>
              <w:bidi w:val="0"/>
            </w:pPr>
            <w:r>
              <w:rPr>
                <w:rFonts w:ascii="Tahoma" w:hAnsi="Tahoma" w:cs="Tahoma" w:eastAsia="Tahoma"/>
              </w:rPr>
              <w:t/>
            </w:r>
          </w:p>
          <w:p>
            <w:pPr>
              <w:pStyle w:val="27"/>
              <w:jc w:val="both"/>
              <w:ind w:right="-60"/>
              <w:bidi w:val="0"/>
            </w:pPr>
            <w:r>
              <w:rPr>
                <w:sz w:val="14"/>
              </w:rPr>
              <w:t>Sorghum</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94  900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86  800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260 425</w:t>
            </w:r>
          </w:p>
        </w:tc>
        <w:tc>
          <w:tcPr>
            <w:tcW w:w="1620" w:type="dxa"/>
            <w:shd w:val="clear" w:color="auto" w:fill="FFFFFF"/>
          </w:tcPr>
          <w:p>
            <w:pPr>
              <w:pStyle w:val="27"/>
              <w:jc w:val="right"/>
              <w:ind w:right="165"/>
              <w:bidi w:val="0"/>
            </w:pPr>
            <w:r>
              <w:rPr>
                <w:u w:val="none"/>
              </w:rPr>
              <w:t/>
            </w:r>
          </w:p>
          <w:p>
            <w:pPr>
              <w:pStyle w:val="27"/>
              <w:jc w:val="right"/>
              <w:ind w:right="165"/>
              <w:bidi w:val="0"/>
            </w:pPr>
            <w:r>
              <w:rPr>
                <w:sz w:val="14"/>
              </w:rPr>
              <w:t>+9,3</w:t>
            </w:r>
          </w:p>
        </w:tc>
      </w:tr>
      <w:tr>
        <w:tc>
          <w:tcPr>
            <w:tcW w:w="2420" w:type="dxa"/>
            <w:shd w:val="clear" w:color="auto" w:fill="FFFFFF"/>
          </w:tcPr>
          <w:p>
            <w:pPr>
              <w:pStyle w:val="27"/>
              <w:jc w:val="right"/>
              <w:ind w:right="165"/>
              <w:bidi w:val="0"/>
            </w:pPr>
            <w:r>
              <w:rPr>
                <w:u w:val="none"/>
              </w:rPr>
              <w:t/>
            </w:r>
          </w:p>
          <w:p>
            <w:pPr>
              <w:pStyle w:val="27"/>
              <w:jc w:val="both"/>
              <w:ind w:right="-60"/>
              <w:bidi w:val="0"/>
            </w:pPr>
            <w:r>
              <w:rPr>
                <w:sz w:val="14"/>
              </w:rPr>
              <w:t>Droëbone/Dry beans</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54  000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43  800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58 975</w:t>
            </w:r>
          </w:p>
        </w:tc>
        <w:tc>
          <w:tcPr>
            <w:tcW w:w="1620" w:type="dxa"/>
            <w:shd w:val="clear" w:color="auto" w:fill="FFFFFF"/>
          </w:tcPr>
          <w:p>
            <w:pPr>
              <w:pStyle w:val="27"/>
              <w:jc w:val="right"/>
              <w:ind w:right="165"/>
              <w:bidi w:val="0"/>
            </w:pPr>
            <w:r>
              <w:rPr>
                <w:u w:val="none"/>
              </w:rPr>
              <w:t/>
            </w:r>
          </w:p>
          <w:p>
            <w:pPr>
              <w:jc w:val="right"/>
              <w:ind w:right="105"/>
              <w:bidi w:val="0"/>
            </w:pPr>
            <w:r>
              <w:rPr>
                <w:rFonts w:ascii="Tahoma" w:hAnsi="Tahoma" w:cs="Tahoma" w:eastAsia="Tahoma"/>
                <w:sz w:val="14"/>
              </w:rPr>
              <w:t>+23,3</w:t>
            </w:r>
          </w:p>
        </w:tc>
      </w:tr>
      <w:tr>
        <w:tc>
          <w:tcPr>
            <w:tcW w:w="2420" w:type="dxa"/>
            <w:shd w:val="clear" w:color="auto" w:fill="FFFFFF"/>
          </w:tcPr>
          <w:p>
            <w:pPr>
              <w:jc w:val="right"/>
              <w:ind w:right="105"/>
              <w:bidi w:val="0"/>
            </w:pPr>
            <w:r>
              <w:rPr>
                <w:rFonts w:ascii="Tahoma" w:hAnsi="Tahoma" w:cs="Tahoma" w:eastAsia="Tahoma"/>
              </w:rPr>
              <w:t/>
            </w:r>
          </w:p>
          <w:p>
            <w:pPr>
              <w:pStyle w:val="27"/>
              <w:jc w:val="both"/>
              <w:ind w:right="-60"/>
              <w:bidi w:val="0"/>
            </w:pPr>
            <w:r>
              <w:rPr>
                <w:sz w:val="14"/>
              </w:rPr>
              <w:t>TOTAAL/TOTAL</w:t>
            </w:r>
          </w:p>
        </w:tc>
        <w:tc>
          <w:tcPr>
            <w:tcW w:w="2030" w:type="dxa"/>
            <w:shd w:val="clear" w:color="auto" w:fill="FFFFFF"/>
          </w:tcPr>
          <w:p>
            <w:pPr>
              <w:pStyle w:val="27"/>
              <w:jc w:val="both"/>
              <w:ind w:right="-60"/>
              <w:bidi w:val="0"/>
            </w:pPr>
            <w:r>
              <w:rPr>
                <w:u w:val="none"/>
              </w:rPr>
              <w:t/>
            </w:r>
          </w:p>
          <w:p>
            <w:pPr>
              <w:pStyle w:val="27"/>
              <w:jc w:val="right"/>
              <w:ind w:right="165"/>
              <w:bidi w:val="0"/>
            </w:pPr>
            <w:r>
              <w:rPr>
                <w:sz w:val="14"/>
              </w:rPr>
              <w:t>3  582  300</w:t>
            </w:r>
          </w:p>
        </w:tc>
        <w:tc>
          <w:tcPr>
            <w:tcW w:w="1980" w:type="dxa"/>
            <w:shd w:val="clear" w:color="auto" w:fill="FFFFFF"/>
          </w:tcPr>
          <w:p>
            <w:pPr>
              <w:pStyle w:val="27"/>
              <w:jc w:val="right"/>
              <w:ind w:right="165"/>
              <w:bidi w:val="0"/>
            </w:pPr>
            <w:r>
              <w:rPr>
                <w:u w:val="none"/>
              </w:rPr>
              <w:t/>
            </w:r>
          </w:p>
          <w:p>
            <w:pPr>
              <w:pStyle w:val="27"/>
              <w:jc w:val="right"/>
              <w:ind w:right="165"/>
              <w:bidi w:val="0"/>
            </w:pPr>
            <w:r>
              <w:rPr>
                <w:sz w:val="14"/>
              </w:rPr>
              <w:t>3  713  500</w:t>
            </w:r>
          </w:p>
        </w:tc>
        <w:tc>
          <w:tcPr>
            <w:tcW w:w="1990" w:type="dxa"/>
            <w:shd w:val="clear" w:color="auto" w:fill="FFFFFF"/>
          </w:tcPr>
          <w:p>
            <w:pPr>
              <w:pStyle w:val="27"/>
              <w:jc w:val="right"/>
              <w:ind w:right="165"/>
              <w:bidi w:val="0"/>
            </w:pPr>
            <w:r>
              <w:rPr>
                <w:u w:val="none"/>
              </w:rPr>
              <w:t/>
            </w:r>
          </w:p>
          <w:p>
            <w:pPr>
              <w:pStyle w:val="27"/>
              <w:jc w:val="right"/>
              <w:ind w:right="165"/>
              <w:bidi w:val="0"/>
            </w:pPr>
            <w:r>
              <w:rPr>
                <w:sz w:val="14"/>
              </w:rPr>
              <w:t>13 619 765</w:t>
            </w:r>
          </w:p>
        </w:tc>
        <w:tc>
          <w:tcPr>
            <w:tcW w:w="1620" w:type="dxa"/>
            <w:shd w:val="clear" w:color="auto" w:fill="FFFFFF"/>
          </w:tcPr>
          <w:p>
            <w:pPr>
              <w:pStyle w:val="27"/>
              <w:jc w:val="right"/>
              <w:ind w:right="165"/>
              <w:bidi w:val="0"/>
            </w:pPr>
            <w:r>
              <w:rPr>
                <w:u w:val="none"/>
              </w:rPr>
              <w:t/>
            </w:r>
          </w:p>
          <w:p>
            <w:pPr>
              <w:pStyle w:val="27"/>
              <w:jc w:val="right"/>
              <w:ind w:right="135"/>
              <w:bidi w:val="0"/>
            </w:pPr>
            <w:r>
              <w:rPr>
                <w:sz w:val="14"/>
              </w:rPr>
              <w:t>-3,5</w:t>
            </w:r>
          </w:p>
        </w:tc>
      </w:tr>
    </w:tbl>
    <w:p>
      <w:pPr>
        <w:bidi w:val="0"/>
      </w:pPr>
      <w:r>
        <w:rPr>
          <w:rFonts w:ascii="Tahoma" w:hAnsi="Tahoma" w:cs="Tahoma" w:eastAsia="Tahoma"/>
        </w:rPr>
        <w:t/>
      </w:r>
    </w:p>
    <w:p>
      <w:pPr>
        <w:bidi w:val="0"/>
        <w:spacing w:before="120"/>
      </w:pPr>
      <w:r>
        <w:rPr>
          <w:rFonts w:ascii="Tahoma" w:hAnsi="Tahoma" w:cs="Tahoma" w:eastAsia="Tahoma"/>
          <w:sz w:val="14"/>
        </w:rPr>
        <w:t>1) August 2008</w:t>
      </w:r>
    </w:p>
    <w:p>
      <w:pPr>
        <w:bidi w:val="0"/>
      </w:pPr>
      <w:r>
        <w:t/>
      </w:r>
    </w:p>
    <w:p>
      <w:pPr>
        <w:ind w:left="180" w:hanging="180"/>
        <w:bidi w:val="0"/>
        <w:spacing w:before="120" w:after="120"/>
        <w:tabs>
          <w:tab w:val="left" w:pos="180"/>
        </w:tabs>
      </w:pPr>
      <w:r>
        <w:rPr>
          <w:rFonts w:ascii="Tahoma" w:hAnsi="Tahoma" w:cs="Tahoma" w:eastAsia="Tahoma"/>
          <w:b/>
          <w:sz w:val="14"/>
        </w:rPr>
        <w:t>*</w:t>
      </w:r>
      <w:r>
        <w:rPr>
          <w:rFonts w:ascii="Tahoma" w:hAnsi="Tahoma" w:cs="Tahoma" w:eastAsia="Tahoma"/>
          <w:b/>
          <w:sz w:val="14"/>
        </w:rPr>
        <w:tab/>
      </w:r>
      <w:r>
        <w:rPr>
          <w:rFonts w:ascii="Tahoma" w:hAnsi="Tahoma" w:cs="Tahoma" w:eastAsia="Tahoma"/>
          <w:sz w:val="14"/>
        </w:rPr>
        <w:t>Inligting gebaseer op ‘n opname onderneem deur die Direktoraat: Landboustatistiek van die nasionale Departement van Landbou/</w:t>
      </w:r>
      <w:r>
        <w:br/>
      </w:r>
      <w:r>
        <w:rPr>
          <w:rFonts w:ascii="Tahoma" w:hAnsi="Tahoma" w:cs="Tahoma" w:eastAsia="Tahoma"/>
          <w:sz w:val="14"/>
        </w:rPr>
        <w:t>Saadmaatskappye/ Provinsiale Departemente van Landbou.</w:t>
      </w:r>
    </w:p>
    <w:p>
      <w:pPr>
        <w:ind w:left="180" w:hanging="180"/>
        <w:bidi w:val="0"/>
        <w:spacing w:before="120"/>
        <w:tabs>
          <w:tab w:val="left" w:pos="180"/>
        </w:tabs>
      </w:pPr>
      <w:r>
        <w:rPr>
          <w:rFonts w:ascii="Tahoma" w:hAnsi="Tahoma" w:cs="Tahoma" w:eastAsia="Tahoma"/>
          <w:sz w:val="14"/>
        </w:rPr>
        <w:t>*</w:t>
      </w:r>
      <w:r>
        <w:rPr>
          <w:rFonts w:ascii="Tahoma" w:hAnsi="Tahoma" w:cs="Tahoma" w:eastAsia="Tahoma"/>
          <w:sz w:val="14"/>
        </w:rPr>
        <w:tab/>
      </w:r>
      <w:r>
        <w:rPr>
          <w:rFonts w:ascii="Tahoma" w:hAnsi="Tahoma" w:cs="Tahoma" w:eastAsia="Tahoma"/>
          <w:sz w:val="14"/>
        </w:rPr>
        <w:t>Information based on a survey conducted by the Directorate: Agricultural Statistics of the national Department of Agriculture/</w:t>
      </w:r>
      <w:r>
        <w:br/>
      </w:r>
      <w:r>
        <w:rPr>
          <w:rFonts w:ascii="Tahoma" w:hAnsi="Tahoma" w:cs="Tahoma" w:eastAsia="Tahoma"/>
          <w:sz w:val="14"/>
        </w:rPr>
        <w:t>Seed companies/ Provincial Departments of Agriculture.</w:t>
      </w:r>
    </w:p>
    <w:p>
      <w:pPr>
        <w:bidi w:val="0"/>
      </w:pPr>
      <w:r>
        <w:t/>
      </w:r>
    </w:p>
    <w:p>
      <w:pPr>
        <w:bidi w:val="0"/>
      </w:pPr>
      <w:r>
        <w:t/>
      </w:r>
    </w:p>
    <w:p>
      <w:r>
        <w:br w:type="page"/>
      </w:r>
    </w:p>
    <w:p>
      <w:pPr>
        <w:bidi w:val="0"/>
      </w:pPr>
      <w:r>
        <w:t/>
      </w:r>
    </w:p>
    <w:p>
      <w:pPr>
        <w:pStyle w:val="27"/>
        <w:jc w:val="left"/>
        <w:ind w:right="-60"/>
        <w:bidi w:val="0"/>
        <w:spacing w:after="60"/>
      </w:pPr>
      <w:r>
        <w:rPr>
          <w:sz w:val="14"/>
        </w:rPr>
        <w:t>WIT- EN GEELMIELIES – VOORNEME OM TE PLANT: 2008/09-SEISOEN</w:t>
      </w:r>
    </w:p>
    <w:p>
      <w:pPr>
        <w:pStyle w:val="27"/>
        <w:jc w:val="left"/>
        <w:ind w:right="-60"/>
        <w:bidi w:val="0"/>
      </w:pPr>
      <w:r>
        <w:rPr>
          <w:sz w:val="14"/>
        </w:rPr>
        <w:t>WHITE AND YELLOW MAIZE – INTENTIONS TO PLANT: 2008/09 SEASON</w:t>
      </w:r>
    </w:p>
    <w:p>
      <w:pPr>
        <w:bidi w:val="0"/>
      </w:pPr>
      <w:r>
        <w:t/>
      </w:r>
    </w:p>
    <w:p>
      <w:pPr>
        <w:bidi w:val="0"/>
      </w:pPr>
      <w:r>
        <w:rPr>
          <w:rFonts w:ascii="Tahoma" w:hAnsi="Tahoma" w:cs="Tahoma" w:eastAsia="Tahoma"/>
        </w:rPr>
        <w:t/>
      </w:r>
    </w:p>
    <w:tbl>
      <w:tblPr>
        <w:tblW w:w="14650" w:type="dxa"/>
        <w:tblLayout w:type="fixed"/>
        <w:tblCellMar>
          <w:top w:w="0" w:type="dxa"/>
          <w:left w:w="0" w:type="dxa"/>
          <w:bottom w:w="0" w:type="dxa"/>
          <w:right w:w="0" w:type="dxa"/>
        </w:tblCellMar>
      </w:tblPr>
      <w:tblGrid>
        <w:gridCol w:w="1995"/>
        <w:gridCol w:w="1395"/>
        <w:gridCol w:w="1410"/>
        <w:gridCol w:w="1395"/>
        <w:gridCol w:w="1395"/>
        <w:gridCol w:w="1410"/>
        <w:gridCol w:w="1395"/>
        <w:gridCol w:w="1395"/>
        <w:gridCol w:w="1410"/>
        <w:gridCol w:w="1395"/>
      </w:tblGrid>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r>
              <w:rPr>
                <w:rFonts w:ascii="Tahoma" w:hAnsi="Tahoma" w:cs="Tahoma" w:eastAsia="Tahoma"/>
                <w:vertAlign w:val="superscript"/>
                <w:sz w:val="14"/>
              </w:rPr>
              <w:t>1)</w:t>
            </w:r>
            <w:r>
              <w:rPr>
                <w:rFonts w:ascii="Tahoma" w:hAnsi="Tahoma" w:cs="Tahoma" w:eastAsia="Tahoma"/>
                <w:sz w:val="14"/>
              </w:rPr>
              <w: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r>
              <w:rPr>
                <w:rFonts w:ascii="Tahoma" w:hAnsi="Tahoma" w:cs="Tahoma" w:eastAsia="Tahoma"/>
                <w:vertAlign w:val="superscript"/>
                <w:sz w:val="14"/>
              </w:rPr>
              <w:t>1)</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4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3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10 000 </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36 750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637 000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673 750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2 760 000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1 848 000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4 608 000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70 200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85 200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237 800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489 800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241 000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481 000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1 447 200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1 300 000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2 747 200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32 000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107 000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384 000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160 200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544 200</w:t>
            </w:r>
          </w:p>
        </w:tc>
      </w:tr>
      <w:tr>
        <w:tc>
          <w:tcPr>
            <w:tcW w:w="19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3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2 043 500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569 500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2 613 000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1 600 000 </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962 000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2 562 000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7 098 250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4 922 900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12 021 150</w:t>
            </w:r>
          </w:p>
        </w:tc>
      </w:tr>
    </w:tbl>
    <w:p>
      <w:pPr>
        <w:bidi w:val="0"/>
      </w:pPr>
      <w:r>
        <w:rPr>
          <w:rFonts w:ascii="Tahoma" w:hAnsi="Tahoma" w:cs="Tahoma" w:eastAsia="Tahoma"/>
        </w:rPr>
        <w:t/>
      </w:r>
    </w:p>
    <w:p>
      <w:pPr>
        <w:bidi w:val="0"/>
        <w:spacing w:before="120"/>
      </w:pPr>
      <w:r>
        <w:rPr>
          <w:rFonts w:ascii="Tahoma" w:hAnsi="Tahoma" w:cs="Tahoma" w:eastAsia="Tahoma"/>
          <w:sz w:val="14"/>
        </w:rPr>
        <w:t>1) August 2008</w:t>
      </w:r>
    </w:p>
    <w:p>
      <w:pPr>
        <w:bidi w:val="0"/>
        <w:spacing w:before="120"/>
      </w:pPr>
      <w:r>
        <w:t/>
      </w:r>
    </w:p>
    <w:p>
      <w:pPr>
        <w:ind w:left="180" w:hanging="180"/>
        <w:bidi w:val="0"/>
        <w:spacing w:before="120" w:after="120"/>
        <w:tabs>
          <w:tab w:val="left" w:pos="180"/>
        </w:tabs>
      </w:pPr>
      <w:r>
        <w:rPr>
          <w:rFonts w:ascii="Tahoma" w:hAnsi="Tahoma" w:cs="Tahoma" w:eastAsia="Tahoma"/>
          <w:b/>
          <w:sz w:val="14"/>
        </w:rPr>
        <w:t>*</w:t>
      </w:r>
      <w:r>
        <w:rPr>
          <w:rFonts w:ascii="Tahoma" w:hAnsi="Tahoma" w:cs="Tahoma" w:eastAsia="Tahoma"/>
          <w:b/>
          <w:sz w:val="14"/>
        </w:rPr>
        <w:tab/>
      </w:r>
      <w:r>
        <w:rPr>
          <w:rFonts w:ascii="Tahoma" w:hAnsi="Tahoma" w:cs="Tahoma" w:eastAsia="Tahoma"/>
          <w:sz w:val="14"/>
        </w:rPr>
        <w:t>Inligting gebaseer op ‘n opname onderneem deur die Direktoraat: Landboustatistiek van die nasionale Departement van Landbou/ Saadmaatskappye/ Provinsiale Departemente van Landbou.</w:t>
      </w:r>
    </w:p>
    <w:p>
      <w:pPr>
        <w:ind w:left="180" w:hanging="180"/>
        <w:bidi w:val="0"/>
        <w:spacing w:before="120"/>
        <w:tabs>
          <w:tab w:val="left" w:pos="180"/>
        </w:tabs>
      </w:pPr>
      <w:r>
        <w:rPr>
          <w:rFonts w:ascii="Tahoma" w:hAnsi="Tahoma" w:cs="Tahoma" w:eastAsia="Tahoma"/>
          <w:sz w:val="14"/>
        </w:rPr>
        <w:t>*</w:t>
      </w:r>
      <w:r>
        <w:rPr>
          <w:rFonts w:ascii="Tahoma" w:hAnsi="Tahoma" w:cs="Tahoma" w:eastAsia="Tahoma"/>
          <w:sz w:val="14"/>
        </w:rPr>
        <w:tab/>
      </w:r>
      <w:r>
        <w:rPr>
          <w:rFonts w:ascii="Tahoma" w:hAnsi="Tahoma" w:cs="Tahoma" w:eastAsia="Tahoma"/>
          <w:sz w:val="14"/>
        </w:rPr>
        <w:t>Information based on a survey conducted by the Directorate: Agricultural Statistics of the national Department of Agriculture/ Seed companies/ Provincial Departments of Agriculture.</w:t>
      </w:r>
    </w:p>
    <w:p>
      <w:pPr>
        <w:bidi w:val="0"/>
        <w:spacing w:lineRule="auto" w:line="360"/>
        <w:tabs>
          <w:tab w:val="left" w:pos="180"/>
        </w:tabs>
      </w:pPr>
      <w:r>
        <w:t/>
      </w:r>
    </w:p>
    <w:p>
      <w:r>
        <w:br w:type="page"/>
      </w:r>
    </w:p>
    <w:p>
      <w:pPr>
        <w:jc w:val="both"/>
        <w:ind w:left="-285"/>
        <w:bidi w:val="0"/>
        <w:spacing w:after="240"/>
      </w:pPr>
      <w:r>
        <w:rPr>
          <w:rFonts w:ascii="Tahoma" w:hAnsi="Tahoma" w:cs="Tahoma" w:eastAsia="Tahoma"/>
          <w:sz w:val="18"/>
        </w:rPr>
        <w:t/>
      </w:r>
    </w:p>
    <w:p>
      <w:pPr>
        <w:pStyle w:val="27"/>
        <w:bidi w:val="0"/>
        <w:spacing w:after="120"/>
      </w:pPr>
      <w:r>
        <w:t>INTENTIONS TO PLANT SUMMER CROPS / VOORNEME OM SOMERGEWASSE TE PLANT (2008/09)</w:t>
      </w:r>
    </w:p>
    <w:p>
      <w:pPr>
        <w:pStyle w:val="27"/>
        <w:bidi w:val="0"/>
        <w:spacing w:after="120"/>
      </w:pPr>
      <w:r>
        <w:t>23 October / Oktober 2008</w:t>
      </w:r>
    </w:p>
    <w:p>
      <w:pPr>
        <w:bidi w:val="0"/>
      </w:pPr>
      <w:r>
        <w:rPr>
          <w:rFonts w:ascii="Tahoma" w:hAnsi="Tahoma" w:cs="Tahoma" w:eastAsia="Tahoma"/>
        </w:rPr>
        <w:t/>
      </w:r>
    </w:p>
    <w:tbl>
      <w:tblPr>
        <w:tblW w:w="14550" w:type="dxa"/>
        <w:tblLayout w:type="fixed"/>
        <w:tblBorders>
          <w:top w:val="single" w:sz="6" w:color="auto"/>
        </w:tblBorders>
        <w:tblCellMar>
          <w:top w:w="0" w:type="dxa"/>
          <w:left w:w="0" w:type="dxa"/>
          <w:bottom w:w="0" w:type="dxa"/>
          <w:right w:w="0" w:type="dxa"/>
        </w:tblCellMar>
        <w:tblInd w:w="270" w:type="dxa"/>
      </w:tblPr>
      <w:tblGrid>
        <w:gridCol w:w="6945"/>
        <w:gridCol w:w="360"/>
        <w:gridCol w:w="7200"/>
      </w:tblGrid>
      <w:tr>
        <w:tc>
          <w:tcPr>
            <w:tcW w:w="6950" w:type="dxa"/>
            <w:shd w:val="clear" w:color="auto" w:fill="FFFFFF"/>
          </w:tcPr>
          <w:p>
            <w:pPr>
              <w:jc w:val="both"/>
              <w:ind w:left="165" w:right="135"/>
              <w:bidi w:val="0"/>
              <w:spacing w:before="75" w:after="165"/>
            </w:pPr>
            <w:r>
              <w:rPr>
                <w:rFonts w:ascii="Tahoma" w:hAnsi="Tahoma" w:cs="Tahoma" w:eastAsia="Tahoma"/>
                <w:sz w:val="22"/>
              </w:rPr>
              <w:t>Based on inputs received from a sample of producers, seed companies and Provincial Departments of Agriculture, the expected area planted to maize for the 2008/09 production season is estimated at 2,562 million ha, which is 8,5% or 237  000 ha less than the 2,799 million ha planted last season.</w:t>
            </w:r>
          </w:p>
          <w:p>
            <w:pPr>
              <w:jc w:val="both"/>
              <w:ind w:left="165" w:right="135"/>
              <w:bidi w:val="0"/>
              <w:spacing w:after="165"/>
            </w:pPr>
            <w:r>
              <w:rPr>
                <w:rFonts w:ascii="Tahoma" w:hAnsi="Tahoma" w:cs="Tahoma" w:eastAsia="Tahoma"/>
                <w:sz w:val="22"/>
              </w:rPr>
              <w:t>The figures show that producers intend to plant 1,600 million ha for white maize, which is 137  000 ha (7,9%) less than in the previous season. In the case of yellow maize, the expected plantings is 962  000 ha, which is 100  000 ha (9,4%) less than in the previous season.</w:t>
            </w:r>
          </w:p>
          <w:p>
            <w:pPr>
              <w:jc w:val="both"/>
              <w:ind w:left="165" w:right="135"/>
              <w:bidi w:val="0"/>
              <w:spacing w:after="165"/>
            </w:pPr>
            <w:r>
              <w:rPr>
                <w:rFonts w:ascii="Tahoma" w:hAnsi="Tahoma" w:cs="Tahoma" w:eastAsia="Tahoma"/>
                <w:sz w:val="22"/>
              </w:rPr>
              <w:t>These figures give an indication of the intentions of commercial farmers to plant summer crops as at the middle of October 2008.  Farmers indicated that the main reasons for the decrease in area planted to maize are that they have to weigh up the availability of credit and the cost of finance, higher input costs and the current lower international maize prices. Over and above these reasons, the weather is also a decisive factor that will influence farmers’ decisions to plant summer grain crops.</w:t>
            </w:r>
          </w:p>
          <w:p>
            <w:pPr>
              <w:jc w:val="both"/>
              <w:ind w:left="150" w:right="150"/>
              <w:bidi w:val="0"/>
              <w:spacing w:after="165"/>
            </w:pPr>
            <w:r>
              <w:rPr>
                <w:rFonts w:ascii="Tahoma" w:hAnsi="Tahoma" w:cs="Tahoma" w:eastAsia="Tahoma"/>
                <w:sz w:val="22"/>
              </w:rPr>
              <w:t>In the case of sunflower seed the expected plantings increased by 3,9%, compared to the previous season.  The plantings of soya-beans, groundnuts, sorghum and dry beans also show increases of 37,5%, 6,1%, 9,3% and 23,3%, respectively.</w:t>
            </w:r>
          </w:p>
          <w:p>
            <w:pPr>
              <w:pStyle w:val="15"/>
              <w:jc w:val="both"/>
              <w:ind w:left="165" w:right="135"/>
              <w:bidi w:val="0"/>
            </w:pPr>
            <w:r>
              <w:rPr>
                <w:rFonts w:ascii="Tahoma" w:hAnsi="Tahoma" w:cs="Tahoma" w:eastAsia="Tahoma"/>
                <w:sz w:val="22"/>
              </w:rPr>
              <w:t>At the meeting of the Crop Estimates Liaison Committee to be held on 27 November 2008, the size of the maize and sorghum crops for the 2007/08 production season will be finalised.</w:t>
            </w:r>
          </w:p>
          <w:p>
            <w:pPr>
              <w:jc w:val="both"/>
              <w:ind w:left="165" w:right="135"/>
              <w:bidi w:val="0"/>
              <w:spacing w:after="165"/>
            </w:pPr>
            <w:r>
              <w:rPr>
                <w:rFonts w:ascii="Tahoma" w:hAnsi="Tahoma" w:cs="Tahoma" w:eastAsia="Tahoma"/>
                <w:sz w:val="22"/>
              </w:rPr>
              <w:t xml:space="preserve">Information is available on the internet at </w:t>
            </w:r>
            <w:hyperlink r:id="hrId3">
              <w:r>
                <w:rPr>
                  <w:rFonts w:ascii="Tahoma" w:hAnsi="Tahoma" w:cs="Tahoma" w:eastAsia="Tahoma"/>
                  <w:sz w:val="22"/>
                </w:rPr>
                <w:t>http://www.nda.agric.za/food</w:t>
              </w:r>
            </w:hyperlink>
            <w:r>
              <w:rPr>
                <w:rFonts w:ascii="Tahoma" w:hAnsi="Tahoma" w:cs="Tahoma" w:eastAsia="Tahoma"/>
                <w:sz w:val="22"/>
              </w:rPr>
              <w:t xml:space="preserve"> security issues or </w:t>
            </w:r>
            <w:hyperlink r:id="hrId4">
              <w:r>
                <w:rPr>
                  <w:rFonts w:ascii="Tahoma" w:hAnsi="Tahoma" w:cs="Tahoma" w:eastAsia="Tahoma"/>
                  <w:sz w:val="22"/>
                </w:rPr>
                <w:t>http://www.sagis.org.za</w:t>
              </w:r>
            </w:hyperlink>
            <w:r>
              <w:rPr>
                <w:rFonts w:ascii="Tahoma" w:hAnsi="Tahoma" w:cs="Tahoma" w:eastAsia="Tahoma"/>
                <w:sz w:val="22"/>
              </w:rPr>
              <w:t>, as from 14:30 on the date of the relevant meeting of the Crop Estimates Committee.</w:t>
            </w:r>
          </w:p>
        </w:tc>
        <w:tc>
          <w:tcPr>
            <w:tcW w:w="360" w:type="dxa"/>
            <w:shd w:val="clear" w:color="auto" w:fill="FFFFFF"/>
          </w:tcPr>
          <w:p>
            <w:pPr>
              <w:jc w:val="both"/>
              <w:ind w:left="165" w:right="135"/>
              <w:bidi w:val="0"/>
              <w:spacing w:after="165"/>
            </w:pPr>
            <w:r>
              <w:rPr>
                <w:rFonts w:ascii="Tahoma" w:hAnsi="Tahoma" w:cs="Tahoma" w:eastAsia="Tahoma"/>
              </w:rPr>
              <w:t/>
            </w:r>
          </w:p>
          <w:p>
            <w:pPr>
              <w:jc w:val="both"/>
              <w:ind w:left="165" w:right="135"/>
              <w:bidi w:val="0"/>
              <w:spacing w:after="165"/>
            </w:pPr>
            <w:r>
              <w:rPr>
                <w:rFonts w:ascii="Tahoma" w:hAnsi="Tahoma" w:cs="Tahoma" w:eastAsia="Tahoma"/>
              </w:rPr>
              <w:t/>
            </w:r>
          </w:p>
        </w:tc>
        <w:tc>
          <w:tcPr>
            <w:tcW w:w="7200" w:type="dxa"/>
            <w:shd w:val="clear" w:color="auto" w:fill="FFFFFF"/>
          </w:tcPr>
          <w:p>
            <w:pPr>
              <w:pStyle w:val="15"/>
              <w:jc w:val="both"/>
              <w:ind w:left="165" w:right="135"/>
              <w:bidi w:val="0"/>
              <w:spacing w:before="75"/>
            </w:pPr>
            <w:r>
              <w:rPr>
                <w:rFonts w:ascii="Tahoma" w:hAnsi="Tahoma" w:cs="Tahoma" w:eastAsia="Tahoma"/>
                <w:sz w:val="22"/>
              </w:rPr>
              <w:t xml:space="preserve">Gebaseer op insette ontvang vanaf ‘n steekproef van produsente, saadmaatskappye en Provinsiale Departemente van Landbou, word die verwagte oppervlakte met mielies beplant vir die 2008/09-seisoen beraam op 2,562 miljoen ha, wat 8,5% minder of 237  000 ha minder is as die 2,799 miljoen ha aangeplant verlede seisoen. </w:t>
            </w:r>
          </w:p>
          <w:p>
            <w:pPr>
              <w:jc w:val="both"/>
              <w:ind w:left="165" w:right="135"/>
              <w:bidi w:val="0"/>
              <w:spacing w:after="165"/>
            </w:pPr>
            <w:r>
              <w:rPr>
                <w:rFonts w:ascii="Tahoma" w:hAnsi="Tahoma" w:cs="Tahoma" w:eastAsia="Tahoma"/>
                <w:sz w:val="22"/>
              </w:rPr>
              <w:t>Die syfers toon dat produsente van voorneme is om 1,600 miljoen ha witmielies aan te plant, wat 137  000 ha (7,9%) minder is as in die vorige seisoen.  In die geval met geelmielies is die verwagte aanplantings 962  000 ha, wat 100  000 ha (9,4%) minder is as in die vorige seisoen.</w:t>
            </w:r>
          </w:p>
          <w:p>
            <w:pPr>
              <w:jc w:val="both"/>
              <w:ind w:left="165" w:right="135"/>
              <w:bidi w:val="0"/>
              <w:spacing w:after="165"/>
            </w:pPr>
            <w:r>
              <w:rPr>
                <w:rFonts w:ascii="Tahoma" w:hAnsi="Tahoma" w:cs="Tahoma" w:eastAsia="Tahoma"/>
                <w:sz w:val="22"/>
              </w:rPr>
              <w:t>Hierdie syfers gee ’n aanduiding van kommersiële boere se voornemens om somergewasse te plant soos teen middel Oktober 2008.  Boere het aangedui dat die afname in die oppervlakte aangeplant met mielies hoofsaaklik toegeskryf kan word aan die beskikbaarheid van krediet en die koste van finansiering, hoër insetkoste en die huidige laer internasionale mielie-pryse.  Bo en behalwe dié faktore, is die weer ook ’n deurslaggewende faktor wat boere se besluite kan beinvloed oor die aanplant van somergewasse.</w:t>
            </w:r>
          </w:p>
          <w:p>
            <w:pPr>
              <w:jc w:val="both"/>
              <w:ind w:left="165" w:right="135"/>
              <w:bidi w:val="0"/>
              <w:spacing w:after="165"/>
            </w:pPr>
            <w:r>
              <w:rPr>
                <w:rFonts w:ascii="Tahoma" w:hAnsi="Tahoma" w:cs="Tahoma" w:eastAsia="Tahoma"/>
                <w:sz w:val="22"/>
              </w:rPr>
              <w:t>In die geval van sonneblomsaad het verwagte aanplantings toegeneem met 3,9% in vergelyking met die vorige seisoen. Sojaboon-, grondboon-, sorghum- en droëboon-aanplantings toon ook toenames van onderskeidelik 37,5%, 6,1%, 9,3% en 23,3%.</w:t>
            </w:r>
          </w:p>
          <w:p>
            <w:pPr>
              <w:jc w:val="both"/>
              <w:ind w:left="165" w:right="135"/>
              <w:bidi w:val="0"/>
              <w:spacing w:after="120"/>
              <w:tabs>
                <w:tab w:val="left" w:pos="6645"/>
              </w:tabs>
            </w:pPr>
            <w:r>
              <w:rPr>
                <w:rFonts w:ascii="Tahoma" w:hAnsi="Tahoma" w:cs="Tahoma" w:eastAsia="Tahoma"/>
                <w:sz w:val="22"/>
              </w:rPr>
              <w:t>Tydens die vergadering van die Oesskattingskakelkomitee wat geskeduleer is vir 27 November 2008, sal die grootte van die mielie- en sorghum-oeste vir die 2007/08-seisoen gefinaliseer word.</w:t>
            </w:r>
          </w:p>
          <w:p>
            <w:pPr>
              <w:jc w:val="both"/>
              <w:ind w:left="165" w:right="135"/>
              <w:bidi w:val="0"/>
              <w:spacing w:after="165"/>
            </w:pPr>
            <w:r>
              <w:rPr>
                <w:rFonts w:ascii="Tahoma" w:hAnsi="Tahoma" w:cs="Tahoma" w:eastAsia="Tahoma"/>
                <w:sz w:val="22"/>
              </w:rPr>
              <w:t xml:space="preserve">Inligting is beskikbaar op die internet by </w:t>
            </w:r>
            <w:hyperlink r:id="hrId5">
              <w:r>
                <w:rPr>
                  <w:rFonts w:ascii="Tahoma" w:hAnsi="Tahoma" w:cs="Tahoma" w:eastAsia="Tahoma"/>
                  <w:sz w:val="22"/>
                </w:rPr>
                <w:t>http://www.nda.agric.za/food</w:t>
              </w:r>
            </w:hyperlink>
            <w:r>
              <w:rPr>
                <w:rFonts w:ascii="Tahoma" w:hAnsi="Tahoma" w:cs="Tahoma" w:eastAsia="Tahoma"/>
                <w:sz w:val="22"/>
              </w:rPr>
              <w:t xml:space="preserve"> security issues of by </w:t>
            </w:r>
            <w:hyperlink r:id="hrId6">
              <w:r>
                <w:rPr>
                  <w:rFonts w:ascii="Tahoma" w:hAnsi="Tahoma" w:cs="Tahoma" w:eastAsia="Tahoma"/>
                  <w:sz w:val="22"/>
                </w:rPr>
                <w:t>http://www.sagis.org.za</w:t>
              </w:r>
            </w:hyperlink>
            <w:r>
              <w:rPr>
                <w:rFonts w:ascii="Tahoma" w:hAnsi="Tahoma" w:cs="Tahoma" w:eastAsia="Tahoma"/>
                <w:sz w:val="22"/>
              </w:rPr>
              <w:t>, vanaf 14:30 op die dag van die toepaslike vergadering van die Oesskattingskomitee.</w:t>
            </w:r>
          </w:p>
        </w:tc>
      </w:tr>
    </w:tbl>
    <w:p>
      <w:pPr>
        <w:bidi w:val="0"/>
      </w:pPr>
      <w:r>
        <w:rPr>
          <w:rFonts w:ascii="Tahoma" w:hAnsi="Tahoma" w:cs="Tahoma" w:eastAsia="Tahoma"/>
        </w:rPr>
        <w:t/>
      </w:r>
    </w:p>
    <w:p>
      <w:pPr>
        <w:jc w:val="both"/>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0"/>
    <w:next w:val="25"/>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5"/>
    <w:pPr>
      <w:ind w:left="285"/>
      <w:spacing w:after="120"/>
    </w:pPr>
  </w:style>
  <w:style w:type="paragraph" w:styleId="3">
    <w:name w:val="Lower Case List"/>
    <w:basedOn w:val="20"/>
  </w:style>
  <w:style w:type="paragraph" w:styleId="4">
    <w:name w:val="Block Text"/>
    <w:basedOn w:val="25"/>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5"/>
    <w:pPr>
      <w:spacing w:after="120"/>
    </w:pPr>
  </w:style>
  <w:style w:type="paragraph" w:styleId="6">
    <w:name w:val="Triangle List"/>
    <w:pPr>
      <w:ind w:left="720" w:hanging="435"/>
    </w:pPr>
    <w:rPr>
      <w:rFonts w:ascii="Tahoma" w:hAnsi="Tahoma" w:cs="Tahoma" w:eastAsia="Tahoma"/>
      <w:sz w:val="24"/>
    </w:rPr>
  </w:style>
  <w:style w:type="paragraph" w:styleId="7">
    <w:name w:val="Upper Case List"/>
    <w:basedOn w:val="20"/>
  </w:style>
  <w:style w:type="paragraph" w:styleId="8">
    <w:name w:val="Heading 2"/>
    <w:basedOn w:val="25"/>
    <w:next w:val="25"/>
    <w:pPr>
      <w:keepNext/>
      <w:spacing w:before="240" w:after="60"/>
    </w:pPr>
    <w:rPr>
      <w:rFonts w:ascii="Arial" w:hAnsi="Arial" w:cs="Arial" w:eastAsia="Arial"/>
      <w:b/>
      <w:i/>
      <w:sz w:val="28"/>
    </w:rPr>
  </w:style>
  <w:style w:type="paragraph" w:styleId="9">
    <w:name w:val="Heading 3"/>
    <w:basedOn w:val="25"/>
    <w:next w:val="25"/>
    <w:pPr>
      <w:keepNext/>
      <w:spacing w:before="240" w:after="60"/>
    </w:pPr>
    <w:rPr>
      <w:rFonts w:ascii="Arial" w:hAnsi="Arial" w:cs="Arial" w:eastAsia="Arial"/>
      <w:b/>
      <w:sz w:val="26"/>
    </w:rPr>
  </w:style>
  <w:style w:type="paragraph" w:styleId="10">
    <w:name w:val="Heading 4"/>
    <w:basedOn w:val="25"/>
    <w:next w:val="25"/>
    <w:pPr>
      <w:keepNext/>
      <w:spacing w:before="240" w:after="60"/>
    </w:pPr>
    <w:rPr>
      <w:b/>
      <w:sz w:val="28"/>
    </w:rPr>
  </w:style>
  <w:style w:type="paragraph" w:styleId="11">
    <w:name w:val="Heart List"/>
    <w:pPr>
      <w:ind w:left="720" w:hanging="435"/>
    </w:pPr>
    <w:rPr>
      <w:rFonts w:ascii="Tahoma" w:hAnsi="Tahoma" w:cs="Tahoma" w:eastAsia="Tahoma"/>
      <w:sz w:val="24"/>
    </w:rPr>
  </w:style>
  <w:style w:type="paragraph" w:styleId="12">
    <w:name w:val="Heading 6"/>
    <w:basedOn w:val="25"/>
    <w:next w:val="25"/>
    <w:pPr>
      <w:spacing w:before="240" w:after="60"/>
    </w:pPr>
    <w:rPr>
      <w:b/>
      <w:sz w:val="22"/>
    </w:rPr>
  </w:style>
  <w:style w:type="paragraph" w:styleId="13">
    <w:name w:val="Heading 7"/>
    <w:basedOn w:val="25"/>
    <w:next w:val="25"/>
    <w:pPr>
      <w:keepNext/>
      <w:spacing w:before="120" w:after="120"/>
    </w:pPr>
    <w:rPr>
      <w:rFonts w:ascii="Tahoma" w:hAnsi="Tahoma" w:cs="Tahoma" w:eastAsia="Tahoma"/>
      <w:b/>
      <w:sz w:val="48"/>
    </w:rPr>
  </w:style>
  <w:style w:type="paragraph" w:styleId="14">
    <w:name w:val="Square List"/>
    <w:pPr>
      <w:ind w:left="720" w:hanging="435"/>
    </w:pPr>
    <w:rPr>
      <w:rFonts w:ascii="Tahoma" w:hAnsi="Tahoma" w:cs="Tahoma" w:eastAsia="Tahoma"/>
      <w:sz w:val="24"/>
    </w:rPr>
  </w:style>
  <w:style w:type="paragraph" w:styleId="15">
    <w:name w:val="Body Text 2"/>
    <w:basedOn w:val="25"/>
    <w:pPr>
      <w:spacing w:after="120" w:lineRule="auto" w:line="480"/>
    </w:pPr>
  </w:style>
  <w:style w:type="paragraph" w:styleId="16">
    <w:name w:val="Table Normal"/>
    <w:rPr>
      <w:rFonts w:ascii="Tahoma" w:hAnsi="Tahoma" w:cs="Tahoma" w:eastAsia="Tahoma"/>
      <w:b/>
      <w:sz w:val="48"/>
    </w:rPr>
  </w:style>
  <w:style w:type="paragraph" w:styleId="17">
    <w:name w:val="Heading 1"/>
    <w:basedOn w:val="25"/>
    <w:next w:val="25"/>
    <w:pPr>
      <w:spacing w:before="435" w:after="60"/>
    </w:pPr>
    <w:rPr>
      <w:rFonts w:ascii="Arial" w:hAnsi="Arial" w:cs="Arial" w:eastAsia="Arial"/>
      <w:b/>
      <w:sz w:val="34"/>
    </w:rPr>
  </w:style>
  <w:style w:type="character" w:default="1" w:styleId="def">
    <w:name w:val="Default Paragraph Font"/>
    <w:uiPriority w:val="1"/>
    <w:semiHidden/>
    <w:unhideWhenUsed/>
  </w:style>
  <w:style w:type="paragraph" w:styleId="18">
    <w:name w:val="Footnote Text"/>
    <w:basedOn w:val="25"/>
    <w:link w:val="c18"/>
    <w:rPr>
      <w:rFonts w:ascii="Tahoma" w:hAnsi="Tahoma" w:cs="Tahoma" w:eastAsia="Tahoma"/>
      <w:sz w:val="20"/>
    </w:rPr>
  </w:style>
  <w:style w:type="character" w:styleId="c18">
    <w:name w:val="Footnote Text Text"/>
    <w:basedOn w:val="def"/>
    <w:link w:val="18"/>
    <w:rPr>
      <w:rFonts w:ascii="Tahoma" w:hAnsi="Tahoma" w:cs="Tahoma" w:eastAsia="Tahoma"/>
      <w:sz w:val="20"/>
    </w:rPr>
  </w:style>
  <w:style w:type="paragraph" w:styleId="19">
    <w:name w:val="Bullet List"/>
    <w:pPr>
      <w:ind w:left="720" w:hanging="435"/>
    </w:pPr>
    <w:rPr>
      <w:rFonts w:ascii="Tahoma" w:hAnsi="Tahoma" w:cs="Tahoma" w:eastAsia="Tahoma"/>
      <w:sz w:val="24"/>
    </w:rPr>
  </w:style>
  <w:style w:type="paragraph" w:styleId="20">
    <w:name w:val="Numbered List"/>
    <w:pPr>
      <w:ind w:left="720" w:hanging="435"/>
    </w:pPr>
    <w:rPr>
      <w:rFonts w:ascii="Tahoma" w:hAnsi="Tahoma" w:cs="Tahoma" w:eastAsia="Tahoma"/>
      <w:sz w:val="24"/>
    </w:rPr>
  </w:style>
  <w:style w:type="paragraph" w:styleId="21">
    <w:name w:val="Diamond List"/>
    <w:pPr>
      <w:ind w:left="720" w:hanging="435"/>
    </w:pPr>
    <w:rPr>
      <w:rFonts w:ascii="Tahoma" w:hAnsi="Tahoma" w:cs="Tahoma" w:eastAsia="Tahoma"/>
      <w:sz w:val="24"/>
    </w:rPr>
  </w:style>
  <w:style w:type="paragraph" w:styleId="22">
    <w:name w:val="Hand List"/>
    <w:pPr>
      <w:ind w:left="720" w:hanging="435"/>
    </w:pPr>
    <w:rPr>
      <w:rFonts w:ascii="Tahoma" w:hAnsi="Tahoma" w:cs="Tahoma" w:eastAsia="Tahoma"/>
      <w:sz w:val="24"/>
    </w:rPr>
  </w:style>
  <w:style w:type="paragraph" w:styleId="23">
    <w:name w:val="Header"/>
    <w:basedOn w:val="25"/>
    <w:pPr>
      <w:tabs>
        <w:tab w:val="center" w:pos="4320"/>
        <w:tab w:val="center" w:pos="8640"/>
        <w:tab w:val="clear" w:pos="0"/>
      </w:tabs>
    </w:pPr>
    <w:rPr>
      <w:sz w:val="20"/>
    </w:rPr>
  </w:style>
  <w:style w:type="paragraph" w:styleId="24">
    <w:name w:val="Upper Roman List"/>
    <w:basedOn w:val="20"/>
  </w:style>
  <w:style w:type="paragraph" w:default="1" w:styleId="25">
    <w:name w:val="Normal"/>
    <w:rPr>
      <w:rFonts w:ascii="Times New Roman" w:hAnsi="Times New Roman" w:cs="Times New Roman" w:eastAsia="Times New Roman"/>
      <w:sz w:val="24"/>
    </w:rPr>
  </w:style>
  <w:style w:type="paragraph" w:styleId="26">
    <w:name w:val="Caption"/>
    <w:basedOn w:val="25"/>
    <w:next w:val="25"/>
    <w:pPr>
      <w:jc w:val="both"/>
      <w:spacing w:lineRule="auto" w:line="312"/>
    </w:pPr>
    <w:rPr>
      <w:rFonts w:ascii="Tahoma" w:hAnsi="Tahoma" w:cs="Tahoma" w:eastAsia="Tahoma"/>
      <w:b/>
      <w:sz w:val="18"/>
    </w:rPr>
  </w:style>
  <w:style w:type="paragraph" w:styleId="27">
    <w:name w:val="Title"/>
    <w:basedOn w:val="25"/>
    <w:pPr>
      <w:jc w:val="center"/>
    </w:pPr>
    <w:rPr>
      <w:rFonts w:ascii="Tahoma" w:hAnsi="Tahoma" w:cs="Tahoma" w:eastAsia="Tahoma"/>
      <w:u w:val="single"/>
    </w:rPr>
  </w:style>
  <w:style w:type="paragraph" w:styleId="28">
    <w:name w:val="Contents Header"/>
    <w:basedOn w:val="25"/>
    <w:next w:val="25"/>
    <w:pPr>
      <w:jc w:val="center"/>
      <w:spacing w:before="240" w:after="120"/>
    </w:pPr>
    <w:rPr>
      <w:rFonts w:ascii="Arial" w:hAnsi="Arial" w:cs="Arial" w:eastAsia="Arial"/>
      <w:b/>
      <w:sz w:val="32"/>
    </w:rPr>
  </w:style>
  <w:style w:type="paragraph" w:styleId="29">
    <w:name w:val="Plain Text"/>
    <w:basedOn w:val="25"/>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40"/>
    <w:next w:val="25"/>
    <w:pPr>
      <w:tabs>
        <w:tab w:val="clear" w:pos="0"/>
        <w:tab w:val="clear" w:pos="435"/>
        <w:tab w:val="left" w:pos="1590"/>
      </w:tabs>
    </w:pPr>
  </w:style>
  <w:style w:type="paragraph" w:styleId="32">
    <w:name w:val="Balloon Text"/>
    <w:basedOn w:val="25"/>
    <w:rPr>
      <w:rFonts w:ascii="Tahoma" w:hAnsi="Tahoma" w:cs="Tahoma" w:eastAsia="Tahoma"/>
      <w:sz w:val="16"/>
    </w:rPr>
  </w:style>
  <w:style w:type="paragraph" w:styleId="33">
    <w:name w:val="Implies List"/>
    <w:pPr>
      <w:ind w:left="720" w:hanging="435"/>
    </w:pPr>
    <w:rPr>
      <w:rFonts w:ascii="Tahoma" w:hAnsi="Tahoma" w:cs="Tahoma" w:eastAsia="Tahoma"/>
      <w:sz w:val="24"/>
    </w:rPr>
  </w:style>
  <w:style w:type="paragraph" w:styleId="34">
    <w:name w:val="Tick List"/>
    <w:pPr>
      <w:ind w:left="720" w:hanging="435"/>
    </w:pPr>
    <w:rPr>
      <w:rFonts w:ascii="Tahoma" w:hAnsi="Tahoma" w:cs="Tahoma" w:eastAsia="Tahoma"/>
      <w:sz w:val="24"/>
    </w:rPr>
  </w:style>
  <w:style w:type="paragraph" w:styleId="35">
    <w:name w:val="Dashed List"/>
    <w:pPr>
      <w:ind w:left="720" w:hanging="435"/>
    </w:pPr>
    <w:rPr>
      <w:rFonts w:ascii="Tahoma" w:hAnsi="Tahoma" w:cs="Tahoma" w:eastAsia="Tahoma"/>
      <w:sz w:val="24"/>
    </w:rPr>
  </w:style>
  <w:style w:type="paragraph" w:styleId="36">
    <w:name w:val="Lower Roman List"/>
    <w:basedOn w:val="25"/>
    <w:pPr>
      <w:ind w:left="720" w:hanging="435"/>
    </w:pPr>
    <w:rPr>
      <w:rFonts w:ascii="Tahoma" w:hAnsi="Tahoma" w:cs="Tahoma" w:eastAsia="Tahoma"/>
    </w:rPr>
  </w:style>
  <w:style w:type="character" w:styleId="c37">
    <w:name w:val="Footnote Reference"/>
    <w:basedOn w:val="def"/>
    <w:rPr>
      <w:rFonts w:ascii="Tahoma" w:hAnsi="Tahoma" w:cs="Tahoma" w:eastAsia="Tahoma"/>
      <w:vertAlign w:val="superscript"/>
    </w:rPr>
  </w:style>
  <w:style w:type="paragraph" w:styleId="38">
    <w:name w:val="Endnote Text"/>
    <w:basedOn w:val="25"/>
    <w:link w:val="c38"/>
    <w:rPr>
      <w:rFonts w:ascii="Tahoma" w:hAnsi="Tahoma" w:cs="Tahoma" w:eastAsia="Tahoma"/>
    </w:rPr>
  </w:style>
  <w:style w:type="character" w:styleId="c38">
    <w:name w:val="Endnote Text Text"/>
    <w:basedOn w:val="def"/>
    <w:link w:val="38"/>
    <w:rPr>
      <w:rFonts w:ascii="Tahoma" w:hAnsi="Tahoma" w:cs="Tahoma" w:eastAsia="Tahoma"/>
    </w:rPr>
  </w:style>
  <w:style w:type="character" w:styleId="c39">
    <w:name w:val="Endnote Reference"/>
    <w:basedOn w:val="def"/>
    <w:rPr>
      <w:rFonts w:ascii="Tahoma" w:hAnsi="Tahoma" w:cs="Tahoma" w:eastAsia="Tahoma"/>
      <w:vertAlign w:val="superscript"/>
    </w:rPr>
  </w:style>
  <w:style w:type="paragraph" w:styleId="40">
    <w:name w:val="Numbered Heading 1"/>
    <w:basedOn w:val="17"/>
    <w:next w:val="25"/>
    <w:pPr>
      <w:spacing w:before="0" w:after="0"/>
      <w:tabs>
        <w:tab w:val="left" w:pos="435"/>
        <w:tab w:val="clear" w:pos="0"/>
      </w:tabs>
    </w:pPr>
    <w:rPr>
      <w:rFonts w:ascii="Tahoma" w:hAnsi="Tahoma" w:cs="Tahoma" w:eastAsia="Tahoma"/>
      <w:b w:val="0"/>
      <w:sz w:val="24"/>
    </w:rPr>
  </w:style>
  <w:style w:type="paragraph" w:styleId="41">
    <w:name w:val="Numbered Heading 2"/>
    <w:basedOn w:val="8"/>
    <w:next w:val="25"/>
    <w:pPr>
      <w:keepNext w:val="0"/>
      <w:spacing w:before="0" w:after="0"/>
      <w:tabs>
        <w:tab w:val="left" w:pos="435"/>
        <w:tab w:val="clear" w:pos="0"/>
      </w:tabs>
    </w:pPr>
    <w:rPr>
      <w:rFonts w:ascii="Tahoma" w:hAnsi="Tahoma" w:cs="Tahoma" w:eastAsia="Tahoma"/>
      <w:b w:val="0"/>
      <w:i w:val="0"/>
      <w:sz w:val="24"/>
    </w:rPr>
  </w:style>
  <w:style w:type="paragraph" w:styleId="42">
    <w:name w:val="Numbered Heading 3"/>
    <w:basedOn w:val="9"/>
    <w:next w:val="25"/>
    <w:pPr>
      <w:keepNext w:val="0"/>
      <w:spacing w:before="0" w:after="0"/>
      <w:tabs>
        <w:tab w:val="left" w:pos="435"/>
        <w:tab w:val="clear" w:pos="0"/>
      </w:tabs>
    </w:pPr>
    <w:rPr>
      <w:rFonts w:ascii="Tahoma" w:hAnsi="Tahoma" w:cs="Tahoma" w:eastAsia="Tahoma"/>
      <w:b w:val="0"/>
      <w:sz w:val="24"/>
    </w:rPr>
  </w:style>
  <w:style w:type="paragraph" w:styleId="43">
    <w:name w:val="Contents 1"/>
    <w:basedOn w:val="25"/>
    <w:next w:val="25"/>
    <w:pPr>
      <w:ind w:left="720" w:hanging="435"/>
    </w:pPr>
    <w:rPr>
      <w:rFonts w:ascii="Tahoma" w:hAnsi="Tahoma" w:cs="Tahoma" w:eastAsia="Tahoma"/>
    </w:rPr>
  </w:style>
  <w:style w:type="paragraph" w:styleId="44">
    <w:name w:val="Contents 2"/>
    <w:basedOn w:val="25"/>
    <w:next w:val="25"/>
    <w:pPr>
      <w:ind w:left="1440" w:hanging="435"/>
    </w:pPr>
    <w:rPr>
      <w:rFonts w:ascii="Tahoma" w:hAnsi="Tahoma" w:cs="Tahoma" w:eastAsia="Tahoma"/>
    </w:rPr>
  </w:style>
  <w:style w:type="paragraph" w:styleId="45">
    <w:name w:val="Contents 3"/>
    <w:basedOn w:val="25"/>
    <w:next w:val="25"/>
    <w:pPr>
      <w:ind w:left="2160" w:hanging="435"/>
    </w:pPr>
    <w:rPr>
      <w:rFonts w:ascii="Tahoma" w:hAnsi="Tahoma" w:cs="Tahoma" w:eastAsia="Tahoma"/>
    </w:rPr>
  </w:style>
  <w:style w:type="paragraph" w:styleId="46">
    <w:name w:val="Contents 4"/>
    <w:basedOn w:val="25"/>
    <w:next w:val="25"/>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