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2"/>
              <w:bidi w:val="0"/>
              <w:spacing w:before="240"/>
            </w:pPr>
            <w:r>
              <w:rPr>
                <w:sz w:val="40"/>
              </w:rPr>
              <w:t>O</w:t>
            </w:r>
            <w:r>
              <w:rPr>
                <w:sz w:val="36"/>
              </w:rPr>
              <w:t>ESSKATTINGSKOMITEE</w:t>
            </w:r>
          </w:p>
        </w:tc>
        <w:tc>
          <w:tcPr>
            <w:tcW w:w="3240" w:type="dxa"/>
            <w:shd w:val="clear" w:color="auto" w:fill="FFFFFF"/>
          </w:tcPr>
          <w:p>
            <w:pPr>
              <w:pStyle w:val="12"/>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2"/>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12"/>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25 Maart/March 2009</w:t>
      </w:r>
    </w:p>
    <w:p>
      <w:pPr>
        <w:jc w:val="both"/>
        <w:bidi w:val="0"/>
      </w:pPr>
      <w:r>
        <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rPr>
          <w:sz w:val="14"/>
        </w:rPr>
        <w:t>SOMERGEWASSE – OPPERVLAKTESKATTING EN TWEEDE PRODUKSIESKATTING VAN SOMERGEWASSE: 2008/09-PRODUKSIESEISOEN</w:t>
      </w:r>
    </w:p>
    <w:p>
      <w:pPr>
        <w:pStyle w:val="27"/>
        <w:jc w:val="left"/>
        <w:ind w:right="-60"/>
        <w:bidi w:val="0"/>
        <w:spacing w:after="120"/>
      </w:pPr>
      <w:r>
        <w:rPr>
          <w:sz w:val="14"/>
        </w:rPr>
        <w:t>SUMMER CROPS – AREA PLANTED ESTIMATE AND SECOND PRODUCTION FORECAST OF SUMMER CROPS: 2008/09 PRODUCTION SEASON</w:t>
      </w:r>
    </w:p>
    <w:p>
      <w:pPr>
        <w:bidi w:val="0"/>
      </w:pPr>
      <w:r>
        <w:rPr>
          <w:rFonts w:ascii="Tahoma" w:hAnsi="Tahoma" w:cs="Tahoma" w:eastAsia="Tahoma"/>
        </w:rPr>
        <w:t/>
      </w:r>
    </w:p>
    <w:tbl>
      <w:tblPr>
        <w:tblW w:w="9680" w:type="dxa"/>
        <w:tblLayout w:type="fixed"/>
        <w:tblCellMar>
          <w:top w:w="0" w:type="dxa"/>
          <w:left w:w="0" w:type="dxa"/>
          <w:bottom w:w="0" w:type="dxa"/>
          <w:right w:w="0" w:type="dxa"/>
        </w:tblCellMar>
        <w:tblInd w:w="-105" w:type="dxa"/>
      </w:tblPr>
      <w:tblGrid>
        <w:gridCol w:w="2415"/>
        <w:gridCol w:w="1290"/>
        <w:gridCol w:w="1290"/>
        <w:gridCol w:w="1125"/>
        <w:gridCol w:w="1125"/>
        <w:gridCol w:w="1320"/>
        <w:gridCol w:w="1095"/>
      </w:tblGrid>
      <w:tr>
        <w:tc>
          <w:tcPr>
            <w:tcW w:w="2420" w:type="dxa"/>
            <w:shd w:val="clear" w:color="auto" w:fill="FFFFFF"/>
          </w:tcPr>
          <w:p>
            <w:pPr>
              <w:pStyle w:val="27"/>
              <w:jc w:val="both"/>
              <w:ind w:right="-60"/>
              <w:bidi w:val="0"/>
              <w:spacing w:before="360"/>
            </w:pPr>
            <w:r>
              <w:rPr>
                <w:sz w:val="14"/>
              </w:rPr>
              <w:t>GEWAS/CROP</w:t>
            </w:r>
          </w:p>
        </w:tc>
        <w:tc>
          <w:tcPr>
            <w:tcW w:w="1290" w:type="dxa"/>
            <w:shd w:val="clear" w:color="auto" w:fill="FFFFFF"/>
          </w:tcPr>
          <w:p>
            <w:pPr>
              <w:pStyle w:val="27"/>
              <w:jc w:val="both"/>
              <w:ind w:right="-60"/>
              <w:bidi w:val="0"/>
              <w:spacing w:before="36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2008/09</w:t>
            </w:r>
          </w:p>
        </w:tc>
        <w:tc>
          <w:tcPr>
            <w:tcW w:w="1290" w:type="dxa"/>
            <w:shd w:val="clear" w:color="auto" w:fill="FFFFFF"/>
          </w:tcPr>
          <w:p>
            <w:pPr>
              <w:pStyle w:val="27"/>
              <w:ind w:right="-60"/>
              <w:bidi w:val="0"/>
            </w:pPr>
            <w:r>
              <w:rPr>
                <w:u w:val="none"/>
              </w:rPr>
              <w:t/>
            </w:r>
          </w:p>
          <w:p>
            <w:pPr>
              <w:pStyle w:val="27"/>
              <w:ind w:right="-60"/>
              <w:bidi w:val="0"/>
              <w:spacing w:before="60"/>
            </w:pPr>
            <w:r>
              <w:rPr>
                <w:sz w:val="14"/>
              </w:rPr>
              <w:t>2</w:t>
            </w:r>
            <w:r>
              <w:rPr>
                <w:vertAlign w:val="superscript"/>
                <w:sz w:val="14"/>
              </w:rPr>
              <w:t>de</w:t>
            </w:r>
            <w:r>
              <w:rPr>
                <w:sz w:val="14"/>
              </w:rPr>
              <w:t>skatting/</w:t>
            </w:r>
          </w:p>
          <w:p>
            <w:pPr>
              <w:pStyle w:val="27"/>
              <w:ind w:right="-60"/>
              <w:bidi w:val="0"/>
            </w:pPr>
            <w:r>
              <w:rPr>
                <w:sz w:val="14"/>
              </w:rPr>
              <w:t>2</w:t>
            </w:r>
            <w:r>
              <w:rPr>
                <w:vertAlign w:val="superscript"/>
                <w:sz w:val="14"/>
              </w:rPr>
              <w:t xml:space="preserve">nd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1</w:t>
            </w:r>
            <w:r>
              <w:rPr>
                <w:vertAlign w:val="superscript"/>
                <w:sz w:val="14"/>
              </w:rPr>
              <w:t>ste</w:t>
            </w:r>
            <w:r>
              <w:rPr>
                <w:sz w:val="14"/>
              </w:rPr>
              <w:t xml:space="preserve"> skatting/</w:t>
            </w:r>
          </w:p>
          <w:p>
            <w:pPr>
              <w:pStyle w:val="27"/>
              <w:ind w:right="-60"/>
              <w:bidi w:val="0"/>
            </w:pPr>
            <w:r>
              <w:rPr>
                <w:sz w:val="14"/>
              </w:rPr>
              <w:t>1</w:t>
            </w:r>
            <w:r>
              <w:rPr>
                <w:vertAlign w:val="superscript"/>
                <w:sz w:val="14"/>
              </w:rPr>
              <w:t>st</w:t>
            </w:r>
            <w:r>
              <w:rPr>
                <w:sz w:val="14"/>
              </w:rPr>
              <w:t xml:space="preserve"> </w:t>
            </w:r>
            <w:r>
              <w:rPr>
                <w:vertAlign w:val="superscript"/>
                <w:sz w:val="14"/>
              </w:rPr>
              <w:t xml:space="preserve">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2007/08</w:t>
            </w:r>
          </w:p>
        </w:tc>
        <w:tc>
          <w:tcPr>
            <w:tcW w:w="1320" w:type="dxa"/>
            <w:shd w:val="clear" w:color="auto" w:fill="FFFFFF"/>
          </w:tcPr>
          <w:p>
            <w:pPr>
              <w:pStyle w:val="27"/>
              <w:ind w:right="-60"/>
              <w:bidi w:val="0"/>
            </w:pPr>
            <w:r>
              <w:rPr>
                <w:u w:val="none"/>
              </w:rPr>
              <w:t/>
            </w:r>
          </w:p>
          <w:p>
            <w:pPr>
              <w:pStyle w:val="27"/>
              <w:ind w:right="-60"/>
              <w:bidi w:val="0"/>
              <w:spacing w:before="60"/>
            </w:pPr>
            <w:r>
              <w:rPr>
                <w:sz w:val="14"/>
              </w:rPr>
              <w:t>Finale oes/</w:t>
            </w:r>
          </w:p>
          <w:p>
            <w:pPr>
              <w:pStyle w:val="27"/>
              <w:ind w:right="-60"/>
              <w:bidi w:val="0"/>
            </w:pPr>
            <w:r>
              <w:rPr>
                <w:sz w:val="14"/>
              </w:rPr>
              <w:t>Final crop</w:t>
            </w:r>
          </w:p>
          <w:p>
            <w:pPr>
              <w:pStyle w:val="27"/>
              <w:ind w:right="-60"/>
              <w:bidi w:val="0"/>
            </w:pPr>
            <w:r>
              <w:rPr>
                <w:sz w:val="14"/>
              </w:rPr>
              <w:t>2007/08</w:t>
            </w:r>
          </w:p>
        </w:tc>
        <w:tc>
          <w:tcPr>
            <w:tcW w:w="1100" w:type="dxa"/>
            <w:shd w:val="clear" w:color="auto" w:fill="FFFFFF"/>
          </w:tcPr>
          <w:p>
            <w:pPr>
              <w:pStyle w:val="27"/>
              <w:ind w:right="-60"/>
              <w:bidi w:val="0"/>
            </w:pPr>
            <w:r>
              <w:rPr>
                <w:u w:val="none"/>
              </w:rPr>
              <w:t/>
            </w:r>
          </w:p>
          <w:p>
            <w:pPr>
              <w:pStyle w:val="27"/>
              <w:ind w:right="-60"/>
              <w:bidi w:val="0"/>
              <w:spacing w:before="60"/>
            </w:pPr>
            <w:r>
              <w:rPr>
                <w:sz w:val="14"/>
              </w:rPr>
              <w:t>Verandering/</w:t>
            </w:r>
          </w:p>
          <w:p>
            <w:pPr>
              <w:pStyle w:val="27"/>
              <w:ind w:right="-60"/>
              <w:bidi w:val="0"/>
            </w:pPr>
            <w:r>
              <w:rPr>
                <w:sz w:val="14"/>
              </w:rPr>
              <w:t>Change</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Ha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(E)</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(C)</w:t>
            </w:r>
          </w:p>
        </w:tc>
      </w:tr>
      <w:tr>
        <w:tc>
          <w:tcPr>
            <w:tcW w:w="9680" w:type="dxa"/>
            <w:gridSpan w:val="7"/>
            <w:shd w:val="clear" w:color="auto" w:fill="FFFFFF"/>
          </w:tcPr>
          <w:p>
            <w:pPr>
              <w:pStyle w:val="27"/>
              <w:ind w:right="-60"/>
              <w:bidi w:val="0"/>
              <w:spacing w:before="15" w:after="15"/>
            </w:pPr>
            <w:r>
              <w:rPr>
                <w:u w:val="none"/>
              </w:rPr>
              <w:t/>
            </w:r>
          </w:p>
          <w:p>
            <w:pPr>
              <w:ind w:right="105"/>
              <w:bidi w:val="0"/>
              <w:spacing w:before="45" w:after="45"/>
            </w:pPr>
            <w:r>
              <w:rPr>
                <w:rFonts w:ascii="Tahoma" w:hAnsi="Tahoma" w:cs="Tahoma" w:eastAsia="Tahoma"/>
                <w:sz w:val="14"/>
              </w:rPr>
              <w:t>Kommersieel/Commercial:</w:t>
            </w:r>
          </w:p>
        </w:tc>
      </w:tr>
      <w:tr>
        <w:tc>
          <w:tcPr>
            <w:tcW w:w="2420" w:type="dxa"/>
            <w:shd w:val="clear" w:color="auto" w:fill="FFFFFF"/>
          </w:tcPr>
          <w:p>
            <w:pPr>
              <w:ind w:right="105"/>
              <w:bidi w:val="0"/>
              <w:spacing w:before="45" w:after="45"/>
            </w:pPr>
            <w:r>
              <w:rPr>
                <w:rFonts w:ascii="Tahoma" w:hAnsi="Tahoma" w:cs="Tahoma" w:eastAsia="Tahoma"/>
              </w:rPr>
              <w:t/>
            </w:r>
          </w:p>
          <w:p>
            <w:pPr>
              <w:pStyle w:val="27"/>
              <w:jc w:val="both"/>
              <w:ind w:right="-105" w:firstLine="180"/>
              <w:bidi w:val="0"/>
              <w:spacing w:before="45" w:after="45"/>
            </w:pPr>
            <w:r>
              <w:rPr>
                <w:sz w:val="14"/>
              </w:rPr>
              <w:t>Witmielies/White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1  488  800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6  537 140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6  528 440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1 737 000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7 480 000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+0,1</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105" w:firstLine="180"/>
              <w:bidi w:val="0"/>
              <w:spacing w:before="45" w:after="45"/>
            </w:pPr>
            <w:r>
              <w:rPr>
                <w:sz w:val="14"/>
              </w:rPr>
              <w:t>Geelmielies/Yellow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932  500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4  653 800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4  688 100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1 062 000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5 220 000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-0,7</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left"/>
              <w:ind w:right="75"/>
              <w:bidi w:val="0"/>
              <w:spacing w:before="45" w:after="45"/>
            </w:pPr>
            <w:r>
              <w:rPr>
                <w:sz w:val="14"/>
              </w:rPr>
              <w:t>Mielies/Maize</w:t>
            </w:r>
          </w:p>
        </w:tc>
        <w:tc>
          <w:tcPr>
            <w:tcW w:w="129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2  421 300</w:t>
            </w:r>
          </w:p>
        </w:tc>
        <w:tc>
          <w:tcPr>
            <w:tcW w:w="129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11  190 940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11  216 540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10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-0,2</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Sonneblomsaad/Sunflower seed</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635 800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900 300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564  300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Sojabone/Soya-beans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224 750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405 035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368 875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165  400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282 000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+9,8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Grondbone/Groundnuts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54  550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93 910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93 910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54  200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88 800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Sorghum</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85 500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256 125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268 100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86  800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255 000</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-4,5</w:t>
            </w:r>
          </w:p>
        </w:tc>
      </w:tr>
      <w:tr>
        <w:tc>
          <w:tcPr>
            <w:tcW w:w="2420" w:type="dxa"/>
            <w:shd w:val="clear" w:color="auto" w:fill="FFFFFF"/>
          </w:tcPr>
          <w:p>
            <w:pPr>
              <w:pStyle w:val="27"/>
              <w:jc w:val="right"/>
              <w:ind w:right="105"/>
              <w:bidi w:val="0"/>
              <w:spacing w:before="45" w:after="45"/>
            </w:pPr>
            <w:r>
              <w:rPr>
                <w:u w:val="none"/>
              </w:rPr>
              <w:t/>
            </w:r>
          </w:p>
          <w:p>
            <w:pPr>
              <w:pStyle w:val="27"/>
              <w:jc w:val="both"/>
              <w:ind w:right="-60"/>
              <w:bidi w:val="0"/>
              <w:spacing w:before="45" w:after="45"/>
            </w:pPr>
            <w:r>
              <w:rPr>
                <w:sz w:val="14"/>
              </w:rPr>
              <w:t>Droëbone/Dry 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43  800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62 180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60 790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43  800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58 975</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TOTAAL/TOTAL</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3 465 700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12  883 470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12  908 515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3 713 500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14 256 775</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-0,2</w:t>
            </w:r>
          </w:p>
        </w:tc>
      </w:tr>
    </w:tbl>
    <w:p>
      <w:pPr>
        <w:bidi w:val="0"/>
      </w:pPr>
      <w:r>
        <w:rPr>
          <w:rFonts w:ascii="Tahoma" w:hAnsi="Tahoma" w:cs="Tahoma" w:eastAsia="Tahoma"/>
        </w:rPr>
        <w:t/>
      </w:r>
    </w:p>
    <w:p>
      <w:pPr>
        <w:pStyle w:val="27"/>
        <w:ind w:right="-60"/>
        <w:bidi w:val="0"/>
      </w:pPr>
      <w:r>
        <w:t/>
      </w:r>
    </w:p>
    <w:p>
      <w:pPr>
        <w:pStyle w:val="27"/>
        <w:ind w:right="-60"/>
        <w:bidi w:val="0"/>
      </w:pPr>
      <w:r>
        <w:rPr>
          <w:sz w:val="16"/>
        </w:rP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rPr>
          <w:sz w:val="14"/>
        </w:rPr>
        <w:t>WIT- EN GEELMIELIES – OPPERVLAKTE- EN TWEEDE PRODUKSIESKATTING: 2008/09-PRODUKSIESEISOEN</w:t>
      </w:r>
    </w:p>
    <w:p>
      <w:pPr>
        <w:pStyle w:val="27"/>
        <w:jc w:val="left"/>
        <w:ind w:right="-60"/>
        <w:bidi w:val="0"/>
      </w:pPr>
      <w:r>
        <w:rPr>
          <w:sz w:val="14"/>
        </w:rPr>
        <w:t>WHITE AND YELLOW MAIZE – AREA PLANTED AND SECOND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2</w:t>
            </w:r>
            <w:r>
              <w:rPr>
                <w:b/>
                <w:vertAlign w:val="superscript"/>
                <w:sz w:val="14"/>
              </w:rPr>
              <w:t xml:space="preserve">de </w:t>
            </w:r>
            <w:r>
              <w:rPr>
                <w:b/>
                <w:sz w:val="14"/>
              </w:rPr>
              <w:t>skatting/</w:t>
            </w:r>
          </w:p>
          <w:p>
            <w:pPr>
              <w:pStyle w:val="27"/>
              <w:ind w:right="-60"/>
              <w:bidi w:val="0"/>
            </w:pPr>
            <w:r>
              <w:rPr>
                <w:b/>
                <w:sz w:val="14"/>
              </w:rPr>
              <w:t>2</w:t>
            </w:r>
            <w:r>
              <w:rPr>
                <w:b/>
                <w:vertAlign w:val="superscript"/>
                <w:sz w:val="14"/>
              </w:rPr>
              <w:t xml:space="preserve">nd </w:t>
            </w:r>
            <w:r>
              <w:rPr>
                <w:b/>
                <w:sz w:val="14"/>
              </w:rPr>
              <w:t>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2  542 500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1 638 000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4  180 500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14 840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80 840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1 225 500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1  414 800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2  640 300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496 800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2  447 500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1 488 800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932 500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2 421 300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6 537 140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4 653 800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11  190 940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sz w:val="14"/>
        </w:rPr>
        <w:t>SONNEBLOMSAAD – OPPERVLAKTE- EN TWEEDE PRODUKSIESKATTING: 2008/09-PRODUKSIESEISOEN</w:t>
      </w:r>
    </w:p>
    <w:p>
      <w:pPr>
        <w:pStyle w:val="27"/>
        <w:jc w:val="left"/>
        <w:ind w:right="-60"/>
        <w:bidi w:val="0"/>
      </w:pPr>
      <w:r>
        <w:rPr>
          <w:sz w:val="14"/>
        </w:rPr>
        <w:t>SUNFLOWER SEED – AREA PLANTED AND SECOND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875 280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27"/>
        <w:jc w:val="left"/>
        <w:ind w:right="-60"/>
        <w:bidi w:val="0"/>
        <w:spacing w:after="60"/>
      </w:pPr>
      <w:r>
        <w:rPr>
          <w:sz w:val="14"/>
        </w:rPr>
        <w:t>SOJABONE – OPPERVLAKTE- EN TWEEDE PRODUKSIESKATTING: 2008/09-PRODUKSIESEISOEN</w:t>
      </w:r>
    </w:p>
    <w:p>
      <w:pPr>
        <w:pStyle w:val="27"/>
        <w:jc w:val="left"/>
        <w:ind w:right="-60"/>
        <w:bidi w:val="0"/>
      </w:pPr>
      <w:r>
        <w:rPr>
          <w:sz w:val="14"/>
        </w:rPr>
        <w:t>SOYA-BEANS – AREA PLANTED AND SECOND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50 000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10 385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224 750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405 035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ind w:right="-60"/>
        <w:bidi w:val="0"/>
      </w:pPr>
      <w:r>
        <w:t/>
      </w:r>
    </w:p>
    <w:p>
      <w:pPr>
        <w:pStyle w:val="27"/>
        <w:jc w:val="left"/>
        <w:ind w:right="-60"/>
        <w:bidi w:val="0"/>
        <w:spacing w:after="60"/>
      </w:pPr>
      <w:r>
        <w:rPr>
          <w:sz w:val="14"/>
        </w:rPr>
        <w:t>GRONDBONE – OPPERVLAKTE- EN TWEEDE PRODUKSIESKATTING: 2008/09-PRODUKSIESEISOEN</w:t>
      </w:r>
    </w:p>
    <w:p>
      <w:pPr>
        <w:pStyle w:val="27"/>
        <w:jc w:val="left"/>
        <w:ind w:right="-60"/>
        <w:bidi w:val="0"/>
      </w:pPr>
      <w:r>
        <w:rPr>
          <w:sz w:val="14"/>
        </w:rPr>
        <w:t>GROUNDNUTS – AREA PLANTED AND SECOND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30 100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93 910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27"/>
        <w:ind w:right="-60"/>
        <w:bidi w:val="0"/>
      </w:pPr>
      <w:r>
        <w:t/>
      </w:r>
    </w:p>
    <w:p>
      <w:pPr>
        <w:pStyle w:val="27"/>
        <w:jc w:val="left"/>
        <w:ind w:right="-60"/>
        <w:bidi w:val="0"/>
        <w:spacing w:after="60"/>
      </w:pPr>
      <w:r>
        <w:rPr>
          <w:sz w:val="14"/>
        </w:rPr>
        <w:t>SORGHUM – OPPERVLAKTE- EN TWEEDE PRODUKSIESKATTING: 2008/09-PRODUKSIESEISOEN</w:t>
      </w:r>
    </w:p>
    <w:p>
      <w:pPr>
        <w:pStyle w:val="27"/>
        <w:jc w:val="left"/>
        <w:ind w:right="-60"/>
        <w:bidi w:val="0"/>
      </w:pPr>
      <w:r>
        <w:rPr>
          <w:sz w:val="14"/>
        </w:rPr>
        <w:t>SORGHUM – AREA PLANTED AND SECOND PRODUCTION FORECAST: 2008/09 PRODUCTION SEASON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53 625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256 125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27"/>
        <w:ind w:right="-60"/>
        <w:bidi w:val="0"/>
      </w:pPr>
      <w:r>
        <w:t/>
      </w:r>
    </w:p>
    <w:p>
      <w:pPr>
        <w:pStyle w:val="27"/>
        <w:jc w:val="left"/>
        <w:ind w:right="-60"/>
        <w:bidi w:val="0"/>
      </w:pPr>
      <w:r>
        <w:t/>
      </w:r>
    </w:p>
    <w:p>
      <w:pPr>
        <w:pStyle w:val="27"/>
        <w:jc w:val="left"/>
        <w:ind w:right="-60"/>
        <w:bidi w:val="0"/>
      </w:pPr>
      <w:r>
        <w:t/>
      </w:r>
    </w:p>
    <w:p>
      <w:pPr>
        <w:pStyle w:val="27"/>
        <w:jc w:val="left"/>
        <w:ind w:right="-60"/>
        <w:bidi w:val="0"/>
        <w:spacing w:after="60"/>
      </w:pPr>
      <w:r>
        <w:rPr>
          <w:sz w:val="14"/>
        </w:rPr>
        <w:t>DRO</w:t>
      </w:r>
      <w:r>
        <w:rPr>
          <w:rFonts w:ascii="Arial" w:hAnsi="Arial" w:cs="Arial" w:eastAsia="Arial"/>
          <w:sz w:val="14"/>
        </w:rPr>
        <w:t>Ë</w:t>
      </w:r>
      <w:r>
        <w:rPr>
          <w:sz w:val="14"/>
        </w:rPr>
        <w:t>BONE – OPPERVLAKTE- EN TWEEDE PRODUKSIESKATTING: 2008/09-PRODUKSIESEISOEN</w:t>
      </w:r>
    </w:p>
    <w:p>
      <w:pPr>
        <w:pStyle w:val="27"/>
        <w:jc w:val="left"/>
        <w:ind w:right="-60"/>
        <w:bidi w:val="0"/>
      </w:pPr>
      <w:r>
        <w:rPr>
          <w:sz w:val="14"/>
        </w:rPr>
        <w:t>DRY BEANS – AREA PLANTED AND SECOND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62 180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27"/>
        <w:ind w:right="-60"/>
        <w:bidi w:val="0"/>
      </w:pPr>
      <w:r>
        <w:rPr>
          <w:b/>
          <w:sz w:val="20"/>
        </w:rPr>
        <w:t>AREA ESTIMATE AND SECOND PRODUCTION FORECAST OF SUMMER CROPS/</w:t>
      </w:r>
      <w:r>
        <w:br/>
      </w:r>
      <w:r>
        <w:rPr>
          <w:b/>
          <w:sz w:val="20"/>
        </w:rPr>
        <w:t>OPPERVLAKTESKATTING EN TWEEDE PRODUKSIESKATTING VIR SOMERGEWASSE</w:t>
      </w:r>
    </w:p>
    <w:p>
      <w:pPr>
        <w:pStyle w:val="27"/>
        <w:bidi w:val="0"/>
      </w:pPr>
      <w:r>
        <w:rPr>
          <w:b/>
          <w:sz w:val="20"/>
        </w:rPr>
        <w:t>25 MARCH / MAART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360"/>
        <w:gridCol w:w="7920"/>
      </w:tblGrid>
      <w:tr>
        <w:tc>
          <w:tcPr>
            <w:tcW w:w="7580" w:type="dxa"/>
            <w:shd w:val="clear" w:color="auto" w:fill="FFFFFF"/>
          </w:tcPr>
          <w:p>
            <w:r>
              <w:br w:type="page"/>
            </w:r>
          </w:p>
          <w:p>
            <w:pPr>
              <w:jc w:val="both"/>
              <w:ind w:left="75" w:right="75"/>
              <w:bidi w:val="0"/>
              <w:spacing w:after="60"/>
            </w:pPr>
            <w:r>
              <w:rPr>
                <w:rFonts w:ascii="Tahoma" w:hAnsi="Tahoma" w:cs="Tahoma" w:eastAsia="Tahoma"/>
                <w:b/>
                <w:u w:val="single"/>
                <w:sz w:val="16"/>
              </w:rPr>
              <w:t>Summer field crops – 2008/09 production season</w:t>
            </w:r>
          </w:p>
          <w:p>
            <w:pPr>
              <w:jc w:val="both"/>
              <w:ind w:left="75"/>
              <w:bidi w:val="0"/>
              <w:spacing w:after="60"/>
            </w:pPr>
            <w:r>
              <w:rPr>
                <w:rFonts w:ascii="Tahoma" w:hAnsi="Tahoma" w:cs="Tahoma" w:eastAsia="Tahoma"/>
                <w:b/>
                <w:u w:val="single"/>
                <w:sz w:val="16"/>
              </w:rPr>
              <w:t>Commercial maize</w:t>
            </w:r>
            <w:r>
              <w:rPr>
                <w:rFonts w:ascii="Tahoma" w:hAnsi="Tahoma" w:cs="Tahoma" w:eastAsia="Tahoma"/>
                <w:sz w:val="16"/>
              </w:rPr>
              <w:t>: The size of the expected commercial maize crop has been set at 11,191 million tons, which is slightly lower (0,23%) than the previous forecast of 11,217 million tons.  The area estimate for maize is 2,421 mill. ha, which is 1,16% or 28  500 ha less than the 2,450 mill. ha of the previous forecast.</w:t>
            </w:r>
          </w:p>
          <w:p>
            <w:pPr>
              <w:jc w:val="both"/>
              <w:ind w:left="75"/>
              <w:bidi w:val="0"/>
              <w:spacing w:after="60"/>
            </w:pPr>
            <w:r>
              <w:rPr>
                <w:rFonts w:ascii="Tahoma" w:hAnsi="Tahoma" w:cs="Tahoma" w:eastAsia="Tahoma"/>
                <w:sz w:val="16"/>
              </w:rPr>
              <w:t>Up to date, the area estimate for the Free State, Mpumalanga, North West, Limpopo, Gauteng and KwaZulu-Natal provinces is based on information obtained from the Producer Independent Crop Estimation System (PICES) as conducted by the National Crop Statistics Consortium (NCSC), which is led by the ARC.  Information on PICES for the Eastern Cape province will be available in April 2009.</w:t>
            </w:r>
          </w:p>
          <w:p>
            <w:pPr>
              <w:jc w:val="both"/>
              <w:ind w:left="90" w:right="90"/>
              <w:bidi w:val="0"/>
              <w:spacing w:after="60"/>
            </w:pPr>
            <w:r>
              <w:rPr>
                <w:rFonts w:ascii="Tahoma" w:hAnsi="Tahoma" w:cs="Tahoma" w:eastAsia="Tahoma"/>
                <w:sz w:val="16"/>
              </w:rPr>
              <w:t>The area estimate for white maize is 1,489 mill. ha, and for yellow maize it is 932 500 ha.</w:t>
            </w:r>
          </w:p>
          <w:p>
            <w:pPr>
              <w:jc w:val="both"/>
              <w:ind w:left="120" w:right="75"/>
              <w:bidi w:val="0"/>
              <w:spacing w:after="60"/>
            </w:pPr>
            <w:r>
              <w:rPr>
                <w:rFonts w:ascii="Tahoma" w:hAnsi="Tahoma" w:cs="Tahoma" w:eastAsia="Tahoma"/>
                <w:sz w:val="16"/>
              </w:rPr>
              <w:t>The production forecast of white maize is 6,537 mill. tons, which is 0,13% more than the 6,528 mill. tons of the previous forecast.  The yield for white maize is 4,39 t/ha as against 4,36 t/ha of the previous forecast.  In the case of yellow maize the production forecast is 4,654 mill. tons, which is 0,73% less than the 4,688 mill. tons of the previous forecast.  The yield of yellow maize is 4,99 t/ha as against 4,92 t/ha of the previous forecast.</w:t>
            </w:r>
          </w:p>
          <w:p>
            <w:pPr>
              <w:jc w:val="both"/>
              <w:ind w:left="120"/>
              <w:bidi w:val="0"/>
              <w:spacing w:after="60"/>
            </w:pPr>
            <w:r>
              <w:rPr>
                <w:rFonts w:ascii="Tahoma" w:hAnsi="Tahoma" w:cs="Tahoma" w:eastAsia="Tahoma"/>
                <w:sz w:val="16"/>
              </w:rPr>
              <w:t>Take note that in view of the pollination problems experienced by certain producers from the seed obtained from Monsanto, the yields of white maize will probably have to be adjusted downwards when further</w:t>
            </w:r>
            <w:r>
              <w:rPr>
                <w:rFonts w:ascii="Tahoma" w:hAnsi="Tahoma" w:cs="Tahoma" w:eastAsia="Tahoma"/>
                <w:b/>
                <w:sz w:val="16"/>
              </w:rPr>
              <w:t xml:space="preserve"> </w:t>
            </w:r>
            <w:r>
              <w:rPr>
                <w:rFonts w:ascii="Tahoma" w:hAnsi="Tahoma" w:cs="Tahoma" w:eastAsia="Tahoma"/>
                <w:sz w:val="16"/>
              </w:rPr>
              <w:t>information becomes available.</w:t>
            </w:r>
          </w:p>
          <w:p>
            <w:pPr>
              <w:jc w:val="both"/>
              <w:ind w:left="120"/>
              <w:bidi w:val="0"/>
              <w:spacing w:after="15"/>
            </w:pPr>
            <w:r>
              <w:rPr>
                <w:rFonts w:ascii="Tahoma" w:hAnsi="Tahoma" w:cs="Tahoma" w:eastAsia="Tahoma"/>
                <w:b/>
                <w:u w:val="single"/>
                <w:sz w:val="16"/>
              </w:rPr>
              <w:t>Sunflower seed</w:t>
            </w:r>
            <w:r>
              <w:rPr>
                <w:rFonts w:ascii="Tahoma" w:hAnsi="Tahoma" w:cs="Tahoma" w:eastAsia="Tahoma"/>
                <w:sz w:val="16"/>
              </w:rPr>
              <w:t>: The production forecast for sunflower seed is 875  280 tons, which is 2,78% less than the 900  300 tons of the previous forecast.  The estimated area planted to sunflower seed was adjusted upward to 635 800 ha. The expected yield is 1,38 t/ha as against 1,51 t/ha of the previous forecast.</w:t>
            </w:r>
          </w:p>
          <w:p>
            <w:pPr>
              <w:jc w:val="both"/>
              <w:ind w:left="90" w:right="90"/>
              <w:bidi w:val="0"/>
              <w:spacing w:after="6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is 405  035 tons, which is 9,80% more than the 368  875 tons of the previous forecast.  The area planted to soya-beans was also adjusted upward to 224  750 ha.  The expected yield is 1,80 t/ha as against 1,71 t/ha of the previous forecast.</w:t>
            </w:r>
          </w:p>
          <w:p>
            <w:pPr>
              <w:jc w:val="both"/>
              <w:ind w:left="90" w:right="90"/>
              <w:bidi w:val="0"/>
              <w:spacing w:after="6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93  910 tons – the same than the previous forecast.  The area estimate also remained unchanged at 54  550 ha.  The expected yield is 1,72 t/ha.</w:t>
            </w:r>
          </w:p>
          <w:p>
            <w:pPr>
              <w:jc w:val="both"/>
              <w:ind w:left="90" w:right="90"/>
              <w:bidi w:val="0"/>
              <w:spacing w:after="12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256  125 tons – 4,47% lower than the 268  100 tons of the previous forecast.  The area estimate for sorghum was adjusted downward to 85  500 ha.  The expected yield is 3,00 t/ha as against 2,98 t/ha of the previous forecast.</w:t>
            </w:r>
          </w:p>
          <w:p>
            <w:pPr>
              <w:jc w:val="both"/>
              <w:ind w:left="90" w:right="90"/>
              <w:bidi w:val="0"/>
              <w:spacing w:after="240"/>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62  180 tons, which is 2,29% more than the 60  790 tons of the previous forecast.  The area estimate remained unchanged at 43  800 ha.  The expected yield is 1,42 t/ha as against 1,39 t/ha of the previous forecast.</w:t>
            </w:r>
          </w:p>
          <w:p>
            <w:pPr>
              <w:jc w:val="both"/>
              <w:ind w:left="90" w:right="90"/>
              <w:bidi w:val="0"/>
              <w:spacing w:after="60"/>
            </w:pPr>
            <w:r>
              <w:rPr>
                <w:rFonts w:ascii="Tahoma" w:hAnsi="Tahoma" w:cs="Tahoma" w:eastAsia="Tahoma"/>
                <w:sz w:val="16"/>
              </w:rPr>
              <w:t>Please note that the third production forecast for summer field crops for the 2008/09 production season, as well as the intentions to plant winter cereals for the 2009 production season will be released on 23 April 2009.</w:t>
            </w:r>
          </w:p>
        </w:tc>
        <w:tc>
          <w:tcPr>
            <w:tcW w:w="360" w:type="dxa"/>
            <w:shd w:val="clear" w:color="auto" w:fill="FFFFFF"/>
          </w:tcPr>
          <w:p>
            <w:pPr>
              <w:jc w:val="both"/>
              <w:ind w:left="90" w:right="90"/>
              <w:bidi w:val="0"/>
              <w:spacing w:after="60"/>
            </w:pPr>
            <w:r>
              <w:rPr>
                <w:rFonts w:ascii="Tahoma" w:hAnsi="Tahoma" w:cs="Tahoma" w:eastAsia="Tahoma"/>
              </w:rPr>
              <w:t/>
            </w:r>
          </w:p>
          <w:p>
            <w:pPr>
              <w:jc w:val="both"/>
              <w:bidi w:val="0"/>
              <w:spacing w:after="60"/>
            </w:pPr>
            <w:r>
              <w:rPr>
                <w:rFonts w:ascii="Tahoma" w:hAnsi="Tahoma" w:cs="Tahoma" w:eastAsia="Tahoma"/>
              </w:rPr>
              <w:t/>
            </w:r>
          </w:p>
        </w:tc>
        <w:tc>
          <w:tcPr>
            <w:tcW w:w="7920" w:type="dxa"/>
            <w:shd w:val="clear" w:color="auto" w:fill="FFFFFF"/>
          </w:tcPr>
          <w:p>
            <w:pPr>
              <w:pStyle w:val="5"/>
              <w:jc w:val="both"/>
              <w:ind w:left="75" w:right="75"/>
              <w:bidi w:val="0"/>
              <w:spacing w:after="60"/>
              <w:tabs>
                <w:tab w:val="left" w:pos="6645"/>
              </w:tabs>
            </w:pPr>
            <w:r>
              <w:rPr>
                <w:rFonts w:ascii="Tahoma" w:hAnsi="Tahoma" w:cs="Tahoma" w:eastAsia="Tahoma"/>
                <w:b/>
                <w:u w:val="single"/>
                <w:sz w:val="16"/>
              </w:rPr>
              <w:t>Somergewasse – 2008/09 produksie-seisoen</w:t>
            </w:r>
          </w:p>
          <w:p>
            <w:pPr>
              <w:jc w:val="both"/>
              <w:ind w:left="90" w:right="75"/>
              <w:bidi w:val="0"/>
              <w:spacing w:after="60"/>
            </w:pPr>
            <w:r>
              <w:rPr>
                <w:rFonts w:ascii="Tahoma" w:hAnsi="Tahoma" w:cs="Tahoma" w:eastAsia="Tahoma"/>
                <w:b/>
                <w:u w:val="single"/>
                <w:sz w:val="16"/>
              </w:rPr>
              <w:t>Kommersiële mielies:</w:t>
            </w:r>
            <w:r>
              <w:rPr>
                <w:rFonts w:ascii="Tahoma" w:hAnsi="Tahoma" w:cs="Tahoma" w:eastAsia="Tahoma"/>
                <w:sz w:val="16"/>
              </w:rPr>
              <w:t xml:space="preserve"> Die grootte van die verwagte kommersiële mielie-oes is op 11,191 milj. ton gestel, wat effens laer (0,23%) is as die vorige skatting van 11,217 milj. ton. Die skatting van die oppervlakte onder mielies beloop 2,421 milj. ha, wat 1,16% of 28  500 ha minder is as die 2,450 milj. ha van die vorige skatting.  </w:t>
            </w:r>
          </w:p>
          <w:p>
            <w:pPr>
              <w:jc w:val="both"/>
              <w:ind w:left="75"/>
              <w:bidi w:val="0"/>
              <w:spacing w:after="60"/>
            </w:pPr>
            <w:r>
              <w:rPr>
                <w:rFonts w:ascii="Tahoma" w:hAnsi="Tahoma" w:cs="Tahoma" w:eastAsia="Tahoma"/>
                <w:sz w:val="16"/>
              </w:rPr>
              <w:t>Tot op datum is die oppervlakteskatting vir die Vrystaat, Mpumalanga, Noordwes, Limpopo, Gauteng en KwaZulu-Natal Provinsies gebaseer op inligting soos verkry vanaf die Produsente Onafhanklike Oesskattingstelsel (“PICES”) , soos deur die LNR-geleide Konsortium gerapporteer. Inligting vanaf PICES vir die Oos-Kaap Provinsie sal in April 2009 gerapporteer word.</w:t>
            </w:r>
          </w:p>
          <w:p>
            <w:pPr>
              <w:jc w:val="both"/>
              <w:ind w:left="90" w:right="75"/>
              <w:bidi w:val="0"/>
              <w:spacing w:after="75"/>
            </w:pPr>
            <w:r>
              <w:rPr>
                <w:rFonts w:ascii="Tahoma" w:hAnsi="Tahoma" w:cs="Tahoma" w:eastAsia="Tahoma"/>
                <w:sz w:val="16"/>
              </w:rPr>
              <w:t>Die oppervlak onder witmielies is 1,489 milj. ha en vir geelmielies is dit 932  500 ha.</w:t>
            </w:r>
          </w:p>
          <w:p>
            <w:pPr>
              <w:jc w:val="both"/>
              <w:ind w:left="120" w:right="75"/>
              <w:bidi w:val="0"/>
              <w:spacing w:after="60"/>
              <w:tabs>
                <w:tab w:val="left" w:pos="6645"/>
              </w:tabs>
            </w:pPr>
            <w:r>
              <w:rPr>
                <w:rFonts w:ascii="Tahoma" w:hAnsi="Tahoma" w:cs="Tahoma" w:eastAsia="Tahoma"/>
                <w:sz w:val="16"/>
              </w:rPr>
              <w:t>Die produksieskatting van witmielies is 6,537 miljoen ton, wat 0,13% meer is as die 6,528 miljoen ton van die vorige skatting.  Die opbrengs van witmielies is 4,39 t/ha teenoor die 4,36 t/ha van die vorige skatting.  In die geval van geelmielies is die produksieskatting 4,654 miljoen ton wat 0,73% minder is as die 4,688 miljoen ton van die vorige skatting.  Die opbrengs van geelmielies is 4,99 t/ha teenoor die 4,92 t/ha van die vorige skatting.</w:t>
            </w:r>
          </w:p>
          <w:p>
            <w:pPr>
              <w:jc w:val="both"/>
              <w:ind w:left="120"/>
              <w:bidi w:val="0"/>
              <w:spacing w:after="60"/>
            </w:pPr>
            <w:r>
              <w:rPr>
                <w:rFonts w:ascii="Tahoma" w:hAnsi="Tahoma" w:cs="Tahoma" w:eastAsia="Tahoma"/>
                <w:sz w:val="16"/>
              </w:rPr>
              <w:t xml:space="preserve">Neem asseblief kennis dat as gevolg van bestuiwingsprobleme wat ondervind is deur sekere produsente wat saad by Monsanto verkry het, die opbrengste van witmielies na alle waarskynlikheid afwaarts aangepas sal moet word namate meer inligting beskikbaar raak. </w:t>
            </w:r>
          </w:p>
          <w:p>
            <w:pPr>
              <w:jc w:val="both"/>
              <w:ind w:left="120" w:right="75"/>
              <w:bidi w:val="0"/>
              <w:spacing w:after="120"/>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875 280 ton, wat 2,78% minder is as die 900 300 ton van die vorige skatting.  Die geskatte oppervlakte beplant met sonneblomsaad is opwaarts aangepas na 635  800 ha.  Die verwagte opbrengs is 1,38 t/ha teenoor die 1,51 t/ha die vorige skatting.</w:t>
            </w:r>
          </w:p>
          <w:p>
            <w:pPr>
              <w:jc w:val="both"/>
              <w:ind w:left="90" w:right="90"/>
              <w:bidi w:val="0"/>
              <w:spacing w:after="60"/>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405 035 ton, wat 9,80% meer is as die 368  875 ton van die vorige skatting.  Die geskatte oppervlakte beplant met sojabone is ook opwaarts aangepas na 224  750 ha.  Die verwagte opbrengs is 1,80 t/ha teenoor die 1,71 t/ha die vorige skatting.</w:t>
            </w:r>
          </w:p>
          <w:p>
            <w:pPr>
              <w:jc w:val="both"/>
              <w:ind w:left="90" w:right="75"/>
              <w:bidi w:val="0"/>
              <w:spacing w:after="60"/>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93 910 ton – dieselfde as die vorige skatting.  Die oppervlakteskatting is ook onveranderd gelaat op 54  550 ha.  Die verwagte opbrengs is 1,72 t/ha.</w:t>
            </w:r>
          </w:p>
          <w:p>
            <w:pPr>
              <w:jc w:val="both"/>
              <w:ind w:left="90" w:right="75"/>
              <w:bidi w:val="0"/>
              <w:spacing w:after="120"/>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256  125 ton – 4,47% laer as die 268  100 ton van die vorige skatting.  Die oppervlakteskatting vir sorghum is afwaarts aangepas na 85  500 ha.  Die verwagte opbrengs is 3,00 t/ha teenoor die 2,98 t/ha die vorige skatting.</w:t>
            </w:r>
          </w:p>
          <w:p>
            <w:pPr>
              <w:jc w:val="both"/>
              <w:ind w:left="90" w:right="75"/>
              <w:bidi w:val="0"/>
              <w:spacing w:after="120"/>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62  180 ton, 2,29% meer as die 60  790 ton van die vorige skatting.  Vir droëbone is die geskatte oppervlakte beplant onveranderd gelaat op 43  800 ha.  Die verwagte opbrengs is 1,42 t/ha teenoor die 1,39 t/ha die vorige skatting.</w:t>
            </w:r>
          </w:p>
          <w:p>
            <w:pPr>
              <w:jc w:val="both"/>
              <w:ind w:left="90" w:right="75"/>
              <w:bidi w:val="0"/>
              <w:spacing w:after="60"/>
              <w:tabs>
                <w:tab w:val="left" w:pos="6645"/>
              </w:tabs>
            </w:pPr>
            <w:r>
              <w:rPr>
                <w:rFonts w:ascii="Tahoma" w:hAnsi="Tahoma" w:cs="Tahoma" w:eastAsia="Tahoma"/>
                <w:sz w:val="16"/>
              </w:rPr>
              <w:t>Neem asseblief kennis dat die derde produksieskatting vir somergewasse vir die 2008/09 produksieseisoen, sowel as die  voorneme  om  wintergewasse te plant vir die 2009 produksieseisoen op 23 April 2009 vrygestel sal word.</w:t>
            </w:r>
          </w:p>
        </w:tc>
      </w:tr>
    </w:tbl>
    <w:p>
      <w:pPr>
        <w:bidi w:val="0"/>
      </w:pPr>
      <w:r>
        <w:rPr>
          <w:rFonts w:ascii="Tahoma" w:hAnsi="Tahoma" w:cs="Tahoma" w:eastAsia="Tahoma"/>
        </w:rPr>
        <w:t/>
      </w:r>
    </w:p>
    <w:p>
      <w:pPr>
        <w:bidi w:val="0"/>
      </w:pPr>
      <w:r>
        <w:t/>
      </w:r>
    </w:p>
    <w:p>
      <w:r>
        <w:br w:type="page"/>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before="75" w:after="120"/>
            </w:pPr>
            <w:r>
              <w:rPr>
                <w:rFonts w:ascii="Tahoma" w:hAnsi="Tahoma" w:cs="Tahoma" w:eastAsia="Tahoma"/>
                <w:b/>
                <w:sz w:val="16"/>
              </w:rPr>
              <w:t xml:space="preserve">Information is available on the internet at </w:t>
            </w:r>
            <w:hyperlink r:id="hrId3">
              <w:r>
                <w:rPr>
                  <w:rFonts w:ascii="Tahoma" w:hAnsi="Tahoma" w:cs="Tahoma" w:eastAsia="Tahoma"/>
                  <w:b/>
                  <w:sz w:val="16"/>
                </w:rPr>
                <w:t>http://www.nda.agric.za/food</w:t>
              </w:r>
            </w:hyperlink>
            <w:r>
              <w:rPr>
                <w:rFonts w:ascii="Tahoma" w:hAnsi="Tahoma" w:cs="Tahoma" w:eastAsia="Tahoma"/>
                <w:b/>
                <w:sz w:val="16"/>
              </w:rPr>
              <w:t xml:space="preserve"> security issues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 xml:space="preserve">Inligting is beskikbaar op die internet by </w:t>
            </w:r>
            <w:hyperlink r:id="hrId5">
              <w:r>
                <w:rPr>
                  <w:rFonts w:ascii="Tahoma" w:hAnsi="Tahoma" w:cs="Tahoma" w:eastAsia="Tahoma"/>
                  <w:b/>
                  <w:sz w:val="16"/>
                </w:rPr>
                <w:t>http://www.nda.agric.za/food</w:t>
              </w:r>
            </w:hyperlink>
            <w:r>
              <w:rPr>
                <w:rFonts w:ascii="Tahoma" w:hAnsi="Tahoma" w:cs="Tahoma" w:eastAsia="Tahoma"/>
                <w:b/>
                <w:sz w:val="16"/>
              </w:rPr>
              <w:t xml:space="preserve"> security issues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27"/>
        <w:jc w:val="left"/>
        <w:bidi w:val="0"/>
        <w:spacing w:after="120"/>
      </w:pPr>
      <w:r>
        <w:t/>
      </w:r>
    </w:p>
    <w:p>
      <w:pPr>
        <w:pStyle w:val="27"/>
        <w:jc w:val="left"/>
        <w:bidi w:val="0"/>
        <w:spacing w:after="120"/>
      </w:pPr>
      <w:r>
        <w:t/>
      </w:r>
    </w:p>
    <w:p>
      <w:pPr>
        <w:pStyle w:val="27"/>
        <w:jc w:val="left"/>
        <w:bidi w:val="0"/>
        <w:spacing w:after="120"/>
      </w:pPr>
      <w:r>
        <w:t/>
      </w:r>
    </w:p>
    <w:p>
      <w:pPr>
        <w:pStyle w:val="27"/>
        <w:jc w:val="left"/>
        <w:ind w:right="-60"/>
        <w:bidi w:val="0"/>
        <w:spacing w:after="60"/>
      </w:pPr>
      <w:r>
        <w:rPr>
          <w:sz w:val="14"/>
        </w:rPr>
        <w:t>MIELIES - OPPERVLAK EN PRODUKSIESKATTING VIR BESTAANSLANDBOU: 2008/09-SEISOEN</w:t>
      </w:r>
    </w:p>
    <w:p>
      <w:pPr>
        <w:pStyle w:val="27"/>
        <w:jc w:val="left"/>
        <w:ind w:right="-60"/>
        <w:bidi w:val="0"/>
        <w:spacing w:after="120"/>
      </w:pPr>
      <w:r>
        <w:rPr>
          <w:sz w:val="14"/>
        </w:rPr>
        <w:t>MAIZE - AREA PLANTED AND PRODUCTION ESTIMATE FOR SUBSISTENCE AGRICULTURE: 2008/09 SEASON</w:t>
      </w:r>
    </w:p>
    <w:p>
      <w:pPr>
        <w:bidi w:val="0"/>
      </w:pPr>
      <w:r>
        <w:rPr>
          <w:rFonts w:ascii="Tahoma" w:hAnsi="Tahoma" w:cs="Tahoma" w:eastAsia="Tahoma"/>
        </w:rPr>
        <w:t/>
      </w:r>
    </w:p>
    <w:tbl>
      <w:tblPr>
        <w:tblW w:w="8850" w:type="dxa"/>
        <w:tblLayout w:type="fixed"/>
        <w:tblCellMar>
          <w:top w:w="0" w:type="dxa"/>
          <w:left w:w="0" w:type="dxa"/>
          <w:bottom w:w="0" w:type="dxa"/>
          <w:right w:w="0" w:type="dxa"/>
        </w:tblCellMar>
        <w:tblInd w:w="-105" w:type="dxa"/>
      </w:tblPr>
      <w:tblGrid>
        <w:gridCol w:w="2370"/>
        <w:gridCol w:w="1260"/>
        <w:gridCol w:w="1455"/>
        <w:gridCol w:w="1260"/>
        <w:gridCol w:w="1110"/>
        <w:gridCol w:w="1305"/>
        <w:gridCol w:w="75"/>
        <w:gridCol w:w="15"/>
      </w:tblGrid>
      <w:tr>
        <w:tc>
          <w:tcPr>
            <w:tcW w:w="2370" w:type="dxa"/>
            <w:shd w:val="clear" w:color="auto" w:fill="FFFFFF"/>
          </w:tcPr>
          <w:p>
            <w:pPr>
              <w:pStyle w:val="27"/>
              <w:jc w:val="both"/>
              <w:ind w:right="-60"/>
              <w:bidi w:val="0"/>
              <w:spacing w:before="360"/>
            </w:pPr>
            <w:r>
              <w:rPr>
                <w:sz w:val="14"/>
              </w:rPr>
              <w:t>GEWAS/CROP</w:t>
            </w:r>
          </w:p>
        </w:tc>
        <w:tc>
          <w:tcPr>
            <w:tcW w:w="1260" w:type="dxa"/>
            <w:shd w:val="clear" w:color="auto" w:fill="FFFFFF"/>
          </w:tcPr>
          <w:p>
            <w:pPr>
              <w:pStyle w:val="27"/>
              <w:jc w:val="both"/>
              <w:ind w:right="-60"/>
              <w:bidi w:val="0"/>
              <w:spacing w:before="36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2008/09</w:t>
            </w:r>
          </w:p>
        </w:tc>
        <w:tc>
          <w:tcPr>
            <w:tcW w:w="1460" w:type="dxa"/>
            <w:shd w:val="clear" w:color="auto" w:fill="FFFFFF"/>
          </w:tcPr>
          <w:p>
            <w:pPr>
              <w:pStyle w:val="27"/>
              <w:ind w:right="-60"/>
              <w:bidi w:val="0"/>
            </w:pPr>
            <w:r>
              <w:rPr>
                <w:u w:val="none"/>
              </w:rPr>
              <w:t/>
            </w:r>
          </w:p>
          <w:p>
            <w:pPr>
              <w:pStyle w:val="27"/>
              <w:ind w:right="-60"/>
              <w:bidi w:val="0"/>
              <w:spacing w:before="60"/>
            </w:pPr>
            <w:r>
              <w:rPr>
                <w:sz w:val="14"/>
              </w:rPr>
              <w:t>Skatting/</w:t>
            </w:r>
          </w:p>
          <w:p>
            <w:pPr>
              <w:pStyle w:val="27"/>
              <w:ind w:right="-60"/>
              <w:bidi w:val="0"/>
            </w:pPr>
            <w:r>
              <w:rPr>
                <w:sz w:val="14"/>
              </w:rPr>
              <w:t>Estimate</w:t>
            </w:r>
          </w:p>
          <w:p>
            <w:pPr>
              <w:pStyle w:val="27"/>
              <w:ind w:right="-60"/>
              <w:bidi w:val="0"/>
            </w:pPr>
            <w:r>
              <w:rPr>
                <w:sz w:val="14"/>
              </w:rPr>
              <w:t>2008/09</w:t>
            </w:r>
          </w:p>
        </w:tc>
        <w:tc>
          <w:tcPr>
            <w:tcW w:w="1260" w:type="dxa"/>
            <w:shd w:val="clear" w:color="auto" w:fill="FFFFFF"/>
          </w:tcPr>
          <w:p>
            <w:pPr>
              <w:pStyle w:val="27"/>
              <w:ind w:right="-60"/>
              <w:bidi w:val="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2007/08</w:t>
            </w:r>
          </w:p>
        </w:tc>
        <w:tc>
          <w:tcPr>
            <w:tcW w:w="1110" w:type="dxa"/>
            <w:shd w:val="clear" w:color="auto" w:fill="FFFFFF"/>
          </w:tcPr>
          <w:p>
            <w:pPr>
              <w:pStyle w:val="27"/>
              <w:ind w:right="-60"/>
              <w:bidi w:val="0"/>
            </w:pPr>
            <w:r>
              <w:rPr>
                <w:u w:val="none"/>
              </w:rPr>
              <w:t/>
            </w:r>
          </w:p>
          <w:p>
            <w:pPr>
              <w:pStyle w:val="27"/>
              <w:ind w:right="-60"/>
              <w:bidi w:val="0"/>
              <w:spacing w:before="60"/>
            </w:pPr>
            <w:r>
              <w:rPr>
                <w:sz w:val="14"/>
              </w:rPr>
              <w:t>Finale oes/</w:t>
            </w:r>
          </w:p>
          <w:p>
            <w:pPr>
              <w:pStyle w:val="27"/>
              <w:ind w:right="-60"/>
              <w:bidi w:val="0"/>
            </w:pPr>
            <w:r>
              <w:rPr>
                <w:sz w:val="14"/>
              </w:rPr>
              <w:t>Final crop</w:t>
            </w:r>
          </w:p>
          <w:p>
            <w:pPr>
              <w:pStyle w:val="27"/>
              <w:ind w:right="-60"/>
              <w:bidi w:val="0"/>
            </w:pPr>
            <w:r>
              <w:rPr>
                <w:sz w:val="14"/>
              </w:rPr>
              <w:t>2007/07</w:t>
            </w:r>
          </w:p>
        </w:tc>
        <w:tc>
          <w:tcPr>
            <w:tcW w:w="1300" w:type="dxa"/>
            <w:shd w:val="clear" w:color="auto" w:fill="FFFFFF"/>
          </w:tcPr>
          <w:p>
            <w:pPr>
              <w:pStyle w:val="27"/>
              <w:ind w:right="-60"/>
              <w:bidi w:val="0"/>
            </w:pPr>
            <w:r>
              <w:rPr>
                <w:u w:val="none"/>
              </w:rPr>
              <w:t/>
            </w:r>
          </w:p>
          <w:p>
            <w:pPr>
              <w:pStyle w:val="27"/>
              <w:ind w:right="-60"/>
              <w:bidi w:val="0"/>
              <w:spacing w:before="60"/>
            </w:pPr>
            <w:r>
              <w:rPr>
                <w:sz w:val="14"/>
              </w:rPr>
              <w:t>Verandering/</w:t>
            </w:r>
          </w:p>
          <w:p>
            <w:pPr>
              <w:pStyle w:val="27"/>
              <w:ind w:right="-60"/>
              <w:bidi w:val="0"/>
            </w:pPr>
            <w:r>
              <w:rPr>
                <w:sz w:val="14"/>
              </w:rPr>
              <w:t>Change</w:t>
            </w:r>
          </w:p>
        </w:tc>
        <w:tc>
          <w:tcPr>
            <w:shd w:val="clear" w:color="auto" w:fill="FFFFFF"/>
          </w:tcPr>
          <w:p>
            <w:r>
              <w:t/>
            </w:r>
          </w:p>
        </w:tc>
        <w:tc>
          <w:tcPr>
            <w:vMerge w:val="restart"/>
            <w:tcW w:w="20" w:type="dxa"/>
          </w:tcPr>
          <w:p>
            <w:r>
              <w:t/>
            </w:r>
          </w:p>
        </w:tc>
      </w:tr>
      <w:tr>
        <w:tc>
          <w:tcPr>
            <w:tcW w:w="237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Ha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c>
          <w:tcPr>
            <w:shd w:val="clear" w:color="auto" w:fill="FFFFFF"/>
          </w:tcPr>
          <w:p>
            <w:r>
              <w:t/>
            </w:r>
          </w:p>
        </w:tc>
        <w:tc>
          <w:tcPr>
            <w:vMerge/>
            <w:tcW w:w="20" w:type="dxa"/>
          </w:tcPr>
          <w:p/>
        </w:tc>
      </w:tr>
      <w:tr>
        <w:tc>
          <w:tcPr>
            <w:tcW w:w="237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(D)</w:t>
            </w:r>
          </w:p>
        </w:tc>
        <w:tc>
          <w:tcPr>
            <w:shd w:val="clear" w:color="auto" w:fill="FFFFFF"/>
          </w:tcPr>
          <w:p>
            <w:r>
              <w:t/>
            </w:r>
          </w:p>
        </w:tc>
        <w:tc>
          <w:tcPr>
            <w:vMerge/>
            <w:tcW w:w="20" w:type="dxa"/>
          </w:tcPr>
          <w:p/>
        </w:tc>
      </w:tr>
      <w:tr>
        <w:tc>
          <w:tcPr>
            <w:tcW w:w="8760" w:type="dxa"/>
            <w:gridSpan w:val="6"/>
            <w:shd w:val="clear" w:color="auto" w:fill="FFFFFF"/>
          </w:tcPr>
          <w:p>
            <w:pPr>
              <w:pStyle w:val="27"/>
              <w:ind w:right="-60"/>
              <w:bidi w:val="0"/>
              <w:spacing w:before="15" w:after="15"/>
            </w:pPr>
            <w:r>
              <w:rPr>
                <w:u w:val="none"/>
              </w:rPr>
              <w:t/>
            </w:r>
          </w:p>
          <w:p>
            <w:pPr>
              <w:ind w:right="135"/>
              <w:bidi w:val="0"/>
              <w:spacing w:before="45" w:after="45"/>
            </w:pPr>
            <w:r>
              <w:rPr>
                <w:rFonts w:ascii="Tahoma" w:hAnsi="Tahoma" w:cs="Tahoma" w:eastAsia="Tahoma"/>
                <w:sz w:val="14"/>
              </w:rPr>
              <w:t>Bestaanslandbou/Subsistence agriculture:</w:t>
            </w:r>
          </w:p>
        </w:tc>
        <w:tc>
          <w:tcPr>
            <w:shd w:val="clear" w:color="auto" w:fill="FFFFFF"/>
          </w:tcPr>
          <w:p>
            <w:r>
              <w:t/>
            </w:r>
          </w:p>
        </w:tc>
        <w:tc>
          <w:tcPr>
            <w:vMerge/>
            <w:tcW w:w="20" w:type="dxa"/>
          </w:tcPr>
          <w:p/>
        </w:tc>
      </w:tr>
      <w:tr>
        <w:tc>
          <w:tcPr>
            <w:tcW w:w="2370" w:type="dxa"/>
            <w:shd w:val="clear" w:color="auto" w:fill="FFFFFF"/>
          </w:tcPr>
          <w:p>
            <w:pPr>
              <w:ind w:right="135"/>
              <w:bidi w:val="0"/>
              <w:spacing w:before="45" w:after="45"/>
            </w:pPr>
            <w:r>
              <w:rPr>
                <w:rFonts w:ascii="Tahoma" w:hAnsi="Tahoma" w:cs="Tahoma" w:eastAsia="Tahoma"/>
              </w:rPr>
              <w:t/>
            </w:r>
          </w:p>
          <w:p>
            <w:pPr>
              <w:pStyle w:val="27"/>
              <w:jc w:val="both"/>
              <w:ind w:right="-105" w:firstLine="180"/>
              <w:bidi w:val="0"/>
              <w:spacing w:before="45" w:after="45"/>
            </w:pPr>
            <w:r>
              <w:rPr>
                <w:sz w:val="14"/>
              </w:rPr>
              <w:t>Witmielies/White maize</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356 276</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378 576</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373 821</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334 324</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+13,24</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both"/>
              <w:ind w:right="-105" w:firstLine="180"/>
              <w:bidi w:val="0"/>
              <w:spacing w:before="45" w:after="45"/>
            </w:pPr>
            <w:r>
              <w:rPr>
                <w:sz w:val="14"/>
              </w:rPr>
              <w:t>Geelmielies/Yellow maize</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112 407</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138 057</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124 159</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129 745</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+6,41</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left"/>
              <w:ind w:right="75"/>
              <w:bidi w:val="0"/>
              <w:spacing w:before="45" w:after="45"/>
            </w:pPr>
            <w:r>
              <w:rPr>
                <w:sz w:val="14"/>
              </w:rPr>
              <w:t>Mielies/Maize</w:t>
            </w:r>
          </w:p>
        </w:tc>
        <w:tc>
          <w:tcPr>
            <w:tcW w:w="126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468 683</w:t>
            </w:r>
          </w:p>
        </w:tc>
        <w:tc>
          <w:tcPr>
            <w:tcW w:w="146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516 633</w:t>
            </w:r>
          </w:p>
        </w:tc>
        <w:tc>
          <w:tcPr>
            <w:tcW w:w="1260" w:type="dxa"/>
            <w:shd w:val="clear" w:color="auto" w:fill="FFFFFF"/>
          </w:tcPr>
          <w:p>
            <w:pPr>
              <w:pStyle w:val="27"/>
              <w:jc w:val="right"/>
              <w:ind w:left="-15" w:right="165" w:hanging="15"/>
              <w:bidi w:val="0"/>
              <w:spacing w:before="45" w:after="45"/>
            </w:pPr>
            <w:r>
              <w:rPr>
                <w:u w:val="none"/>
              </w:rPr>
              <w:t/>
            </w:r>
          </w:p>
          <w:p>
            <w:pPr>
              <w:pStyle w:val="27"/>
              <w:jc w:val="right"/>
              <w:ind w:right="165"/>
              <w:bidi w:val="0"/>
              <w:spacing w:before="45" w:after="45"/>
            </w:pPr>
            <w:r>
              <w:rPr>
                <w:sz w:val="14"/>
              </w:rPr>
              <w:t>497 980</w:t>
            </w:r>
          </w:p>
        </w:tc>
        <w:tc>
          <w:tcPr>
            <w:tcW w:w="111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464 069</w:t>
            </w:r>
          </w:p>
        </w:tc>
        <w:tc>
          <w:tcPr>
            <w:tcW w:w="1300" w:type="dxa"/>
            <w:shd w:val="clear" w:color="auto" w:fill="FFFFFF"/>
          </w:tcPr>
          <w:p>
            <w:pPr>
              <w:pStyle w:val="27"/>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+11,33</w:t>
            </w:r>
          </w:p>
        </w:tc>
        <w:tc>
          <w:tcPr>
            <w:shd w:val="clear" w:color="auto" w:fill="FFFFFF"/>
          </w:tcPr>
          <w:p>
            <w:r>
              <w:t/>
            </w:r>
          </w:p>
        </w:tc>
        <w:tc>
          <w:tcPr>
            <w:vMerge/>
            <w:tcW w:w="20" w:type="dxa"/>
          </w:tcPr>
          <w:p/>
        </w:tc>
      </w:tr>
      <w:tr>
        <w:tc>
          <w:tcPr>
            <w:tcW w:w="8850" w:type="dxa"/>
            <w:gridSpan w:val="8"/>
            <w:shd w:val="clear" w:color="auto" w:fill="FFFFFF"/>
          </w:tcPr>
          <w:p>
            <w:pPr>
              <w:jc w:val="right"/>
              <w:ind w:right="135"/>
              <w:bidi w:val="0"/>
              <w:spacing w:before="45" w:after="45"/>
            </w:pPr>
            <w:r>
              <w:rPr>
                <w:rFonts w:ascii="Tahoma" w:hAnsi="Tahoma" w:cs="Tahoma" w:eastAsia="Tahoma"/>
              </w:rPr>
              <w:t/>
            </w:r>
          </w:p>
          <w:p>
            <w:pPr>
              <w:jc w:val="both"/>
              <w:ind w:left="75" w:right="165"/>
              <w:bidi w:val="0"/>
              <w:spacing w:before="240" w:after="60"/>
            </w:pPr>
            <w:r>
              <w:rPr>
                <w:rFonts w:ascii="Tahoma" w:hAnsi="Tahoma" w:cs="Tahoma" w:eastAsia="Tahoma"/>
                <w:sz w:val="16"/>
              </w:rPr>
              <w:t>The area planted to maize in the subsistence agricultural sector is estimated at 468 683 ha, which represents a decrease of 5,9  % compared to the 497  980 ha of the previous season. Due to favourable production conditions, the expected maize crop for this sector is 516  633 tons, which is 11,3  % higher than the 464  069 tons of last season.</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bestaanslandbou-sektor word geskat op 468  683 ha, wat ‘n afname van 5,9  % verteenwoordig in vergelyking met die 497  980 ha van die vorige seisoen.  Weens gunstige produksie toestande, is die verwagte mielie-oes van dié sektor 516  633 ton, wat 11,3  % hoër is as die 464  069 ton van die vorige seisoen.</w:t>
            </w:r>
          </w:p>
        </w:tc>
      </w:tr>
    </w:tbl>
    <w:p>
      <w:pPr>
        <w:bidi w:val="0"/>
      </w:pPr>
      <w:r>
        <w:rPr>
          <w:rFonts w:ascii="Tahoma" w:hAnsi="Tahoma" w:cs="Tahoma" w:eastAsia="Tahoma"/>
        </w:rPr>
        <w:t/>
      </w:r>
    </w:p>
    <w:p>
      <w:pPr>
        <w:ind w:left="75" w:right="165"/>
        <w:bidi w:val="0"/>
        <w:spacing w:before="60" w:after="18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6"/>
    <w:pPr>
      <w:ind w:left="285"/>
      <w:spacing w:after="120"/>
    </w:pPr>
  </w:style>
  <w:style w:type="paragraph" w:styleId="3">
    <w:name w:val="Lower Case List"/>
    <w:basedOn w:val="19"/>
  </w:style>
  <w:style w:type="paragraph" w:styleId="4">
    <w:name w:val="Block Text"/>
    <w:basedOn w:val="26"/>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6"/>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6"/>
    <w:rPr>
      <w:rFonts w:ascii="Tahoma" w:hAnsi="Tahoma" w:cs="Tahoma" w:eastAsia="Tahoma"/>
      <w:sz w:val="20"/>
    </w:rPr>
  </w:style>
  <w:style w:type="paragraph" w:styleId="8">
    <w:name w:val="Heading 2"/>
    <w:basedOn w:val="26"/>
    <w:next w:val="26"/>
    <w:pPr>
      <w:spacing w:before="435" w:after="60"/>
    </w:pPr>
    <w:rPr>
      <w:rFonts w:ascii="Arial" w:hAnsi="Arial" w:cs="Arial" w:eastAsia="Arial"/>
      <w:b/>
      <w:sz w:val="28"/>
    </w:rPr>
  </w:style>
  <w:style w:type="paragraph" w:styleId="9">
    <w:name w:val="Heading 3"/>
    <w:basedOn w:val="26"/>
    <w:next w:val="26"/>
    <w:pPr>
      <w:spacing w:before="435" w:after="60"/>
    </w:pPr>
    <w:rPr>
      <w:rFonts w:ascii="Arial" w:hAnsi="Arial" w:cs="Arial" w:eastAsia="Arial"/>
      <w:b/>
    </w:rPr>
  </w:style>
  <w:style w:type="paragraph" w:styleId="10">
    <w:name w:val="Heading 4"/>
    <w:basedOn w:val="26"/>
    <w:next w:val="26"/>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Heading 7"/>
    <w:basedOn w:val="26"/>
    <w:next w:val="26"/>
    <w:pPr>
      <w:keepNext/>
      <w:spacing w:before="120" w:after="120"/>
    </w:pPr>
    <w:rPr>
      <w:rFonts w:ascii="Tahoma" w:hAnsi="Tahoma" w:cs="Tahoma" w:eastAsia="Tahoma"/>
      <w:b/>
      <w:sz w:val="48"/>
    </w:rPr>
  </w:style>
  <w:style w:type="paragraph" w:styleId="13">
    <w:name w:val="Square List"/>
    <w:pPr>
      <w:ind w:left="720" w:hanging="435"/>
    </w:pPr>
    <w:rPr>
      <w:rFonts w:ascii="Tahoma" w:hAnsi="Tahoma" w:cs="Tahoma" w:eastAsia="Tahoma"/>
      <w:sz w:val="24"/>
    </w:rPr>
  </w:style>
  <w:style w:type="paragraph" w:styleId="14">
    <w:name w:val="Body Text 2"/>
    <w:basedOn w:val="26"/>
    <w:pPr>
      <w:spacing w:after="120" w:lineRule="auto" w:line="480"/>
    </w:pPr>
  </w:style>
  <w:style w:type="paragraph" w:styleId="15">
    <w:name w:val="Table Normal"/>
    <w:rPr>
      <w:rFonts w:ascii="Tahoma" w:hAnsi="Tahoma" w:cs="Tahoma" w:eastAsia="Tahoma"/>
      <w:b/>
      <w:sz w:val="48"/>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b w:val="0"/>
      <w:sz w:val="20"/>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Title"/>
    <w:basedOn w:val="26"/>
    <w:pPr>
      <w:jc w:val="center"/>
    </w:pPr>
    <w:rPr>
      <w:rFonts w:ascii="Tahoma" w:hAnsi="Tahoma" w:cs="Tahoma" w:eastAsia="Tahoma"/>
      <w:u w:val="single"/>
    </w:rPr>
  </w:style>
  <w:style w:type="paragraph" w:styleId="28">
    <w:name w:val="Contents Header"/>
    <w:basedOn w:val="26"/>
    <w:next w:val="26"/>
    <w:pPr>
      <w:jc w:val="center"/>
      <w:spacing w:before="240" w:after="120"/>
    </w:pPr>
    <w:rPr>
      <w:rFonts w:ascii="Arial" w:hAnsi="Arial" w:cs="Arial" w:eastAsia="Arial"/>
      <w:b/>
      <w:sz w:val="32"/>
    </w:rPr>
  </w:style>
  <w:style w:type="paragraph" w:styleId="29">
    <w:name w:val="Plain Text"/>
    <w:basedOn w:val="26"/>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39"/>
    <w:next w:val="26"/>
    <w:pPr>
      <w:tabs>
        <w:tab w:val="clear" w:pos="0"/>
        <w:tab w:val="clear" w:pos="435"/>
        <w:tab w:val="left" w:pos="1590"/>
      </w:tabs>
    </w:pPr>
  </w:style>
  <w:style w:type="paragraph" w:styleId="32">
    <w:name w:val="Implies List"/>
    <w:pPr>
      <w:ind w:left="720" w:hanging="435"/>
    </w:pPr>
    <w:rPr>
      <w:rFonts w:ascii="Tahoma" w:hAnsi="Tahoma" w:cs="Tahoma" w:eastAsia="Tahoma"/>
      <w:sz w:val="24"/>
    </w:rPr>
  </w:style>
  <w:style w:type="paragraph" w:styleId="33">
    <w:name w:val="Tick List"/>
    <w:pPr>
      <w:ind w:left="720" w:hanging="435"/>
    </w:pPr>
    <w:rPr>
      <w:rFonts w:ascii="Tahoma" w:hAnsi="Tahoma" w:cs="Tahoma" w:eastAsia="Tahoma"/>
      <w:sz w:val="24"/>
    </w:rPr>
  </w:style>
  <w:style w:type="paragraph" w:styleId="34">
    <w:name w:val="Numbered Heading 3"/>
    <w:basedOn w:val="9"/>
    <w:next w:val="26"/>
    <w:pPr>
      <w:spacing w:before="0" w:after="0"/>
      <w:tabs>
        <w:tab w:val="left" w:pos="435"/>
        <w:tab w:val="clear" w:pos="0"/>
      </w:tabs>
    </w:pPr>
    <w:rPr>
      <w:rFonts w:ascii="Tahoma" w:hAnsi="Tahoma" w:cs="Tahoma" w:eastAsia="Tahoma"/>
      <w:b w:val="0"/>
    </w:rPr>
  </w:style>
  <w:style w:type="paragraph" w:styleId="35">
    <w:name w:val="Lower Roman List"/>
    <w:basedOn w:val="26"/>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6"/>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23"/>
    <w:next w:val="26"/>
    <w:pPr>
      <w:spacing w:before="0" w:after="0"/>
      <w:tabs>
        <w:tab w:val="left" w:pos="435"/>
        <w:tab w:val="clear" w:pos="0"/>
      </w:tabs>
    </w:pPr>
    <w:rPr>
      <w:rFonts w:ascii="Tahoma" w:hAnsi="Tahoma" w:cs="Tahoma" w:eastAsia="Tahoma"/>
      <w:b w:val="0"/>
      <w:sz w:val="24"/>
    </w:rPr>
  </w:style>
  <w:style w:type="paragraph" w:styleId="40">
    <w:name w:val="Numbered Heading 2"/>
    <w:basedOn w:val="8"/>
    <w:next w:val="26"/>
    <w:pPr>
      <w:spacing w:before="0" w:after="0"/>
      <w:tabs>
        <w:tab w:val="left" w:pos="435"/>
        <w:tab w:val="clear" w:pos="0"/>
      </w:tabs>
    </w:pPr>
    <w:rPr>
      <w:rFonts w:ascii="Tahoma" w:hAnsi="Tahoma" w:cs="Tahoma" w:eastAsia="Tahoma"/>
      <w:b w:val="0"/>
      <w:sz w:val="24"/>
    </w:rPr>
  </w:style>
  <w:style w:type="paragraph" w:styleId="41">
    <w:name w:val="Dashed List"/>
    <w:pPr>
      <w:ind w:left="720" w:hanging="435"/>
    </w:pPr>
    <w:rPr>
      <w:rFonts w:ascii="Tahoma" w:hAnsi="Tahoma" w:cs="Tahoma" w:eastAsia="Tahoma"/>
      <w:sz w:val="24"/>
    </w:rPr>
  </w:style>
  <w:style w:type="paragraph" w:styleId="42">
    <w:name w:val="Contents 1"/>
    <w:basedOn w:val="26"/>
    <w:next w:val="26"/>
    <w:pPr>
      <w:ind w:left="720" w:hanging="435"/>
    </w:pPr>
    <w:rPr>
      <w:rFonts w:ascii="Tahoma" w:hAnsi="Tahoma" w:cs="Tahoma" w:eastAsia="Tahoma"/>
    </w:rPr>
  </w:style>
  <w:style w:type="paragraph" w:styleId="43">
    <w:name w:val="Contents 2"/>
    <w:basedOn w:val="26"/>
    <w:next w:val="26"/>
    <w:pPr>
      <w:ind w:left="1440" w:hanging="435"/>
    </w:pPr>
    <w:rPr>
      <w:rFonts w:ascii="Tahoma" w:hAnsi="Tahoma" w:cs="Tahoma" w:eastAsia="Tahoma"/>
    </w:rPr>
  </w:style>
  <w:style w:type="paragraph" w:styleId="44">
    <w:name w:val="Contents 3"/>
    <w:basedOn w:val="26"/>
    <w:next w:val="26"/>
    <w:pPr>
      <w:ind w:left="2160" w:hanging="435"/>
    </w:pPr>
    <w:rPr>
      <w:rFonts w:ascii="Tahoma" w:hAnsi="Tahoma" w:cs="Tahoma" w:eastAsia="Tahoma"/>
    </w:rPr>
  </w:style>
  <w:style w:type="paragraph" w:styleId="45">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