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23"/>
              <w:bidi w:val="0"/>
              <w:spacing w:before="240"/>
            </w:pPr>
            <w:r>
              <w:rPr>
                <w:sz w:val="40"/>
              </w:rPr>
              <w:t>O</w:t>
            </w:r>
            <w:r>
              <w:rPr>
                <w:sz w:val="36"/>
              </w:rPr>
              <w:t>ESSKATTINGSKOMITEE</w:t>
            </w:r>
          </w:p>
        </w:tc>
        <w:tc>
          <w:tcPr>
            <w:tcW w:w="3240" w:type="dxa"/>
            <w:shd w:val="clear" w:color="auto" w:fill="FFFFFF"/>
          </w:tcPr>
          <w:p>
            <w:pPr>
              <w:pStyle w:val="23"/>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23"/>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23"/>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25 November 2008</w:t>
      </w:r>
    </w:p>
    <w:p>
      <w:pPr>
        <w:jc w:val="both"/>
        <w:bidi w:val="0"/>
      </w:pPr>
      <w:r>
        <w:t/>
      </w:r>
    </w:p>
    <w:p>
      <w:pPr>
        <w:jc w:val="both"/>
        <w:bidi w:val="0"/>
      </w:pPr>
      <w:r>
        <w:t/>
      </w:r>
    </w:p>
    <w:p>
      <w:pPr>
        <w:bidi w:val="0"/>
      </w:pPr>
      <w:r>
        <w:rPr>
          <w:rFonts w:ascii="Tahoma" w:hAnsi="Tahoma" w:cs="Tahoma" w:eastAsia="Tahoma"/>
        </w:rPr>
        <w:t/>
      </w:r>
    </w:p>
    <w:p>
      <w:pPr>
        <w:bidi w:val="0"/>
      </w:pPr>
      <w:r>
        <w:t/>
      </w:r>
    </w:p>
    <w:p>
      <w:pPr>
        <w:pStyle w:val="42"/>
        <w:jc w:val="left"/>
        <w:ind w:right="-60"/>
        <w:bidi w:val="0"/>
        <w:spacing w:before="120" w:after="60"/>
      </w:pPr>
      <w:r>
        <w:t/>
      </w:r>
    </w:p>
    <w:p>
      <w:pPr>
        <w:pStyle w:val="42"/>
        <w:jc w:val="left"/>
        <w:ind w:right="-60"/>
        <w:bidi w:val="0"/>
        <w:spacing w:before="120" w:after="60"/>
      </w:pPr>
      <w:r>
        <w:t/>
      </w:r>
    </w:p>
    <w:p>
      <w:pPr>
        <w:pStyle w:val="42"/>
        <w:jc w:val="left"/>
        <w:ind w:right="-60"/>
        <w:bidi w:val="0"/>
        <w:spacing w:before="120" w:after="60"/>
      </w:pPr>
      <w:r>
        <w:rPr>
          <w:sz w:val="20"/>
        </w:rPr>
        <w:t>WINTERGEWASSE – OPPERVLAK- EN VIERDE PRODUKSIESKATTING: 2008-SEISOEN</w:t>
      </w:r>
    </w:p>
    <w:p>
      <w:pPr>
        <w:pStyle w:val="42"/>
        <w:jc w:val="left"/>
        <w:ind w:right="-60"/>
        <w:bidi w:val="0"/>
        <w:spacing w:after="120"/>
      </w:pPr>
      <w:r>
        <w:rPr>
          <w:sz w:val="20"/>
        </w:rPr>
        <w:t>WINTER CEREALS – AREA PLANTED AND FOURTH PRODUCTION FORECAST: 2008 SEASON</w:t>
      </w:r>
    </w:p>
    <w:p>
      <w:pPr>
        <w:bidi w:val="0"/>
      </w:pPr>
      <w:r>
        <w:rPr>
          <w:rFonts w:ascii="Tahoma" w:hAnsi="Tahoma" w:cs="Tahoma" w:eastAsia="Tahoma"/>
        </w:rPr>
        <w:t/>
      </w:r>
    </w:p>
    <w:tbl>
      <w:tblPr>
        <w:tblW w:w="10220" w:type="dxa"/>
        <w:tblLayout w:type="fixed"/>
        <w:tblCellMar>
          <w:top w:w="0" w:type="dxa"/>
          <w:left w:w="0" w:type="dxa"/>
          <w:bottom w:w="0" w:type="dxa"/>
          <w:right w:w="0" w:type="dxa"/>
        </w:tblCellMar>
        <w:tblInd w:w="-105" w:type="dxa"/>
      </w:tblPr>
      <w:tblGrid>
        <w:gridCol w:w="2415"/>
        <w:gridCol w:w="1260"/>
        <w:gridCol w:w="1290"/>
        <w:gridCol w:w="1290"/>
        <w:gridCol w:w="1290"/>
        <w:gridCol w:w="1290"/>
        <w:gridCol w:w="1380"/>
      </w:tblGrid>
      <w:tr>
        <w:tc>
          <w:tcPr>
            <w:tcW w:w="2420" w:type="dxa"/>
            <w:shd w:val="clear" w:color="auto" w:fill="FFFFFF"/>
          </w:tcPr>
          <w:p>
            <w:pPr>
              <w:pStyle w:val="42"/>
              <w:jc w:val="both"/>
              <w:ind w:right="-60"/>
              <w:bidi w:val="0"/>
              <w:spacing w:before="360"/>
            </w:pPr>
            <w:r>
              <w:rPr>
                <w:sz w:val="20"/>
              </w:rPr>
              <w:t>GEWAS/CROP</w:t>
            </w:r>
          </w:p>
        </w:tc>
        <w:tc>
          <w:tcPr>
            <w:tcW w:w="1260" w:type="dxa"/>
            <w:shd w:val="clear" w:color="auto" w:fill="FFFFFF"/>
          </w:tcPr>
          <w:p>
            <w:pPr>
              <w:pStyle w:val="42"/>
              <w:jc w:val="both"/>
              <w:ind w:right="-60"/>
              <w:bidi w:val="0"/>
              <w:spacing w:before="360"/>
            </w:pPr>
            <w:r>
              <w:rPr>
                <w:u w:val="none"/>
              </w:rPr>
              <w:t/>
            </w:r>
          </w:p>
          <w:p>
            <w:pPr>
              <w:pStyle w:val="42"/>
              <w:ind w:left="-240" w:right="-165"/>
              <w:bidi w:val="0"/>
              <w:spacing w:before="60"/>
            </w:pPr>
            <w:r>
              <w:rPr>
                <w:sz w:val="20"/>
              </w:rPr>
              <w:t>Opp beplant/</w:t>
            </w:r>
          </w:p>
          <w:p>
            <w:pPr>
              <w:pStyle w:val="42"/>
              <w:ind w:left="-240" w:right="-165"/>
              <w:bidi w:val="0"/>
              <w:spacing w:before="60"/>
            </w:pPr>
            <w:r>
              <w:rPr>
                <w:sz w:val="20"/>
              </w:rPr>
              <w:t>Area planted</w:t>
            </w:r>
          </w:p>
          <w:p>
            <w:pPr>
              <w:pStyle w:val="42"/>
              <w:ind w:left="-240" w:right="-165"/>
              <w:bidi w:val="0"/>
              <w:spacing w:before="60"/>
            </w:pPr>
            <w:r>
              <w:rPr>
                <w:sz w:val="20"/>
              </w:rPr>
              <w:t>2008</w:t>
            </w:r>
          </w:p>
        </w:tc>
        <w:tc>
          <w:tcPr>
            <w:tcW w:w="1290" w:type="dxa"/>
            <w:shd w:val="clear" w:color="auto" w:fill="FFFFFF"/>
          </w:tcPr>
          <w:p>
            <w:pPr>
              <w:pStyle w:val="42"/>
              <w:ind w:left="-240" w:right="-165"/>
              <w:bidi w:val="0"/>
              <w:spacing w:before="60"/>
            </w:pPr>
            <w:r>
              <w:rPr>
                <w:u w:val="none"/>
              </w:rPr>
              <w:t/>
            </w:r>
          </w:p>
          <w:p>
            <w:pPr>
              <w:pStyle w:val="42"/>
              <w:ind w:right="-60"/>
              <w:bidi w:val="0"/>
              <w:spacing w:before="60"/>
            </w:pPr>
            <w:r>
              <w:rPr>
                <w:sz w:val="20"/>
              </w:rPr>
              <w:t>4</w:t>
            </w:r>
            <w:r>
              <w:rPr>
                <w:vertAlign w:val="superscript"/>
                <w:sz w:val="20"/>
              </w:rPr>
              <w:t>de</w:t>
            </w:r>
            <w:r>
              <w:rPr>
                <w:sz w:val="20"/>
              </w:rPr>
              <w:t xml:space="preserve"> skatting/ 4</w:t>
            </w:r>
            <w:r>
              <w:rPr>
                <w:vertAlign w:val="superscript"/>
                <w:sz w:val="20"/>
              </w:rPr>
              <w:t>th</w:t>
            </w:r>
            <w:r>
              <w:rPr>
                <w:sz w:val="20"/>
              </w:rPr>
              <w:t xml:space="preserve"> forecast</w:t>
            </w:r>
          </w:p>
          <w:p>
            <w:pPr>
              <w:pStyle w:val="42"/>
              <w:ind w:right="-60"/>
              <w:bidi w:val="0"/>
              <w:spacing w:before="60"/>
            </w:pPr>
            <w:r>
              <w:rPr>
                <w:sz w:val="20"/>
              </w:rPr>
              <w:t>2008</w:t>
            </w:r>
          </w:p>
        </w:tc>
        <w:tc>
          <w:tcPr>
            <w:tcW w:w="1290" w:type="dxa"/>
            <w:shd w:val="clear" w:color="auto" w:fill="FFFFFF"/>
          </w:tcPr>
          <w:p>
            <w:pPr>
              <w:pStyle w:val="42"/>
              <w:ind w:right="-60"/>
              <w:bidi w:val="0"/>
              <w:spacing w:before="60"/>
            </w:pPr>
            <w:r>
              <w:rPr>
                <w:u w:val="none"/>
              </w:rPr>
              <w:t/>
            </w:r>
          </w:p>
          <w:p>
            <w:pPr>
              <w:pStyle w:val="42"/>
              <w:ind w:right="-60"/>
              <w:bidi w:val="0"/>
              <w:spacing w:before="60"/>
            </w:pPr>
            <w:r>
              <w:rPr>
                <w:sz w:val="20"/>
              </w:rPr>
              <w:t>3</w:t>
            </w:r>
            <w:r>
              <w:rPr>
                <w:vertAlign w:val="superscript"/>
                <w:sz w:val="20"/>
              </w:rPr>
              <w:t>de</w:t>
            </w:r>
            <w:r>
              <w:rPr>
                <w:sz w:val="20"/>
              </w:rPr>
              <w:t xml:space="preserve"> skatting/</w:t>
            </w:r>
          </w:p>
          <w:p>
            <w:pPr>
              <w:pStyle w:val="42"/>
              <w:ind w:right="-60"/>
              <w:bidi w:val="0"/>
              <w:spacing w:before="60"/>
            </w:pPr>
            <w:r>
              <w:rPr>
                <w:sz w:val="20"/>
              </w:rPr>
              <w:t>3</w:t>
            </w:r>
            <w:r>
              <w:rPr>
                <w:vertAlign w:val="superscript"/>
                <w:sz w:val="20"/>
              </w:rPr>
              <w:t>rd</w:t>
            </w:r>
            <w:r>
              <w:rPr>
                <w:sz w:val="20"/>
              </w:rPr>
              <w:t xml:space="preserve"> forecast</w:t>
            </w:r>
          </w:p>
          <w:p>
            <w:pPr>
              <w:pStyle w:val="42"/>
              <w:ind w:right="-60"/>
              <w:bidi w:val="0"/>
              <w:spacing w:before="60"/>
            </w:pPr>
            <w:r>
              <w:rPr>
                <w:sz w:val="20"/>
              </w:rPr>
              <w:t>2008</w:t>
            </w:r>
          </w:p>
        </w:tc>
        <w:tc>
          <w:tcPr>
            <w:tcW w:w="1290" w:type="dxa"/>
            <w:shd w:val="clear" w:color="auto" w:fill="FFFFFF"/>
          </w:tcPr>
          <w:p>
            <w:pPr>
              <w:pStyle w:val="42"/>
              <w:ind w:right="-60"/>
              <w:bidi w:val="0"/>
              <w:spacing w:before="60"/>
            </w:pPr>
            <w:r>
              <w:rPr>
                <w:u w:val="none"/>
              </w:rPr>
              <w:t/>
            </w:r>
          </w:p>
          <w:p>
            <w:pPr>
              <w:pStyle w:val="42"/>
              <w:ind w:right="-75" w:hanging="120"/>
              <w:bidi w:val="0"/>
              <w:spacing w:before="60"/>
            </w:pPr>
            <w:r>
              <w:rPr>
                <w:sz w:val="20"/>
              </w:rPr>
              <w:t>Opp beplant/</w:t>
            </w:r>
          </w:p>
          <w:p>
            <w:pPr>
              <w:pStyle w:val="42"/>
              <w:ind w:right="-75" w:hanging="120"/>
              <w:bidi w:val="0"/>
              <w:spacing w:before="60"/>
            </w:pPr>
            <w:r>
              <w:rPr>
                <w:sz w:val="20"/>
              </w:rPr>
              <w:t>Area planted</w:t>
            </w:r>
          </w:p>
          <w:p>
            <w:pPr>
              <w:pStyle w:val="42"/>
              <w:ind w:right="-75" w:hanging="120"/>
              <w:bidi w:val="0"/>
              <w:spacing w:before="60"/>
            </w:pPr>
            <w:r>
              <w:rPr>
                <w:sz w:val="20"/>
              </w:rPr>
              <w:t>2007</w:t>
            </w:r>
          </w:p>
        </w:tc>
        <w:tc>
          <w:tcPr>
            <w:tcW w:w="1290" w:type="dxa"/>
            <w:shd w:val="clear" w:color="auto" w:fill="FFFFFF"/>
          </w:tcPr>
          <w:p>
            <w:pPr>
              <w:pStyle w:val="42"/>
              <w:ind w:right="-75" w:hanging="120"/>
              <w:bidi w:val="0"/>
              <w:spacing w:before="60"/>
            </w:pPr>
            <w:r>
              <w:rPr>
                <w:u w:val="none"/>
              </w:rPr>
              <w:t/>
            </w:r>
          </w:p>
          <w:p>
            <w:pPr>
              <w:pStyle w:val="42"/>
              <w:ind w:right="-60"/>
              <w:bidi w:val="0"/>
              <w:spacing w:before="60"/>
            </w:pPr>
            <w:r>
              <w:rPr>
                <w:sz w:val="20"/>
              </w:rPr>
              <w:t>Finale oes/</w:t>
            </w:r>
          </w:p>
          <w:p>
            <w:pPr>
              <w:pStyle w:val="42"/>
              <w:ind w:right="-60"/>
              <w:bidi w:val="0"/>
              <w:spacing w:before="60"/>
            </w:pPr>
            <w:r>
              <w:rPr>
                <w:sz w:val="20"/>
              </w:rPr>
              <w:t>Final crop</w:t>
            </w:r>
          </w:p>
          <w:p>
            <w:pPr>
              <w:pStyle w:val="42"/>
              <w:ind w:right="-60"/>
              <w:bidi w:val="0"/>
              <w:spacing w:before="60"/>
            </w:pPr>
            <w:r>
              <w:rPr>
                <w:sz w:val="20"/>
              </w:rPr>
              <w:t>2007</w:t>
            </w:r>
          </w:p>
        </w:tc>
        <w:tc>
          <w:tcPr>
            <w:tcW w:w="1380" w:type="dxa"/>
            <w:shd w:val="clear" w:color="auto" w:fill="FFFFFF"/>
          </w:tcPr>
          <w:p>
            <w:pPr>
              <w:pStyle w:val="42"/>
              <w:ind w:right="-60"/>
              <w:bidi w:val="0"/>
              <w:spacing w:before="60"/>
            </w:pPr>
            <w:r>
              <w:rPr>
                <w:u w:val="none"/>
              </w:rPr>
              <w:t/>
            </w:r>
          </w:p>
          <w:p>
            <w:pPr>
              <w:pStyle w:val="42"/>
              <w:ind w:right="-105"/>
              <w:bidi w:val="0"/>
              <w:spacing w:before="60"/>
            </w:pPr>
            <w:r>
              <w:rPr>
                <w:sz w:val="20"/>
              </w:rPr>
              <w:t>Verandering/</w:t>
            </w:r>
          </w:p>
          <w:p>
            <w:pPr>
              <w:pStyle w:val="42"/>
              <w:ind w:right="-105"/>
              <w:bidi w:val="0"/>
              <w:spacing w:before="60"/>
            </w:pPr>
            <w:r>
              <w:rPr>
                <w:sz w:val="20"/>
              </w:rPr>
              <w:t>Change</w:t>
            </w:r>
          </w:p>
        </w:tc>
      </w:tr>
      <w:tr>
        <w:tc>
          <w:tcPr>
            <w:tcW w:w="2420" w:type="dxa"/>
            <w:shd w:val="clear" w:color="auto" w:fill="FFFFFF"/>
          </w:tcPr>
          <w:p>
            <w:pPr>
              <w:pStyle w:val="42"/>
              <w:ind w:right="-105"/>
              <w:bidi w:val="0"/>
              <w:spacing w:before="60"/>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20" w:after="15"/>
            </w:pPr>
            <w:r>
              <w:rPr>
                <w:sz w:val="20"/>
              </w:rPr>
              <w:t>Ha</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Tons</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Tons</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Ha</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Tons</w:t>
            </w:r>
          </w:p>
        </w:tc>
        <w:tc>
          <w:tcPr>
            <w:tcW w:w="138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w:t>
            </w:r>
          </w:p>
        </w:tc>
      </w:tr>
      <w:tr>
        <w:tc>
          <w:tcPr>
            <w:tcW w:w="2420" w:type="dxa"/>
            <w:shd w:val="clear" w:color="auto" w:fill="FFFFFF"/>
          </w:tcPr>
          <w:p>
            <w:pPr>
              <w:pStyle w:val="42"/>
              <w:ind w:right="-60"/>
              <w:bidi w:val="0"/>
              <w:spacing w:before="120" w:after="15"/>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20"/>
              </w:rPr>
              <w:t>(A)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(B)</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(C)</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(D)</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(E)</w:t>
            </w:r>
          </w:p>
        </w:tc>
        <w:tc>
          <w:tcPr>
            <w:tcW w:w="1380" w:type="dxa"/>
            <w:shd w:val="clear" w:color="auto" w:fill="FFFFFF"/>
          </w:tcPr>
          <w:p>
            <w:pPr>
              <w:pStyle w:val="42"/>
              <w:ind w:right="-60"/>
              <w:bidi w:val="0"/>
              <w:spacing w:before="15" w:after="15"/>
            </w:pPr>
            <w:r>
              <w:rPr>
                <w:u w:val="none"/>
              </w:rPr>
              <w:t/>
            </w:r>
          </w:p>
          <w:p>
            <w:pPr>
              <w:pStyle w:val="42"/>
              <w:ind w:right="-60"/>
              <w:bidi w:val="0"/>
              <w:spacing w:before="15" w:after="15"/>
            </w:pPr>
            <w:r>
              <w:rPr>
                <w:sz w:val="20"/>
              </w:rPr>
              <w:t>(B) ÷ (C)</w:t>
            </w:r>
          </w:p>
        </w:tc>
      </w:tr>
      <w:tr>
        <w:tc>
          <w:tcPr>
            <w:tcW w:w="10220" w:type="dxa"/>
            <w:gridSpan w:val="7"/>
            <w:shd w:val="clear" w:color="auto" w:fill="FFFFFF"/>
          </w:tcPr>
          <w:p>
            <w:pPr>
              <w:pStyle w:val="42"/>
              <w:ind w:right="-60"/>
              <w:bidi w:val="0"/>
              <w:spacing w:before="15" w:after="15"/>
            </w:pPr>
            <w:r>
              <w:rPr>
                <w:u w:val="none"/>
              </w:rPr>
              <w:t/>
            </w:r>
          </w:p>
          <w:p>
            <w:pPr>
              <w:pStyle w:val="42"/>
              <w:jc w:val="both"/>
              <w:ind w:right="-105"/>
              <w:bidi w:val="0"/>
              <w:spacing w:before="135" w:after="135"/>
            </w:pPr>
            <w:r>
              <w:rPr>
                <w:sz w:val="20"/>
              </w:rPr>
              <w:t>Kommersieël/Commercial:</w:t>
            </w:r>
          </w:p>
        </w:tc>
      </w:tr>
      <w:tr>
        <w:tc>
          <w:tcPr>
            <w:tcW w:w="2420" w:type="dxa"/>
            <w:shd w:val="clear" w:color="auto" w:fill="FFFFFF"/>
          </w:tcPr>
          <w:p>
            <w:pPr>
              <w:pStyle w:val="42"/>
              <w:jc w:val="both"/>
              <w:ind w:right="-105"/>
              <w:bidi w:val="0"/>
              <w:spacing w:before="135" w:after="135"/>
            </w:pPr>
            <w:r>
              <w:rPr>
                <w:u w:val="none"/>
              </w:rPr>
              <w:t/>
            </w:r>
          </w:p>
          <w:p>
            <w:pPr>
              <w:pStyle w:val="42"/>
              <w:jc w:val="left"/>
              <w:ind w:right="75"/>
              <w:bidi w:val="0"/>
              <w:spacing w:before="135" w:after="135"/>
            </w:pPr>
            <w:r>
              <w:rPr>
                <w:sz w:val="20"/>
              </w:rPr>
              <w:t>Koring/Wheat</w:t>
            </w:r>
          </w:p>
        </w:tc>
        <w:tc>
          <w:tcPr>
            <w:tcW w:w="1260" w:type="dxa"/>
            <w:shd w:val="clear" w:color="auto" w:fill="FFFFFF"/>
          </w:tcPr>
          <w:p>
            <w:pPr>
              <w:pStyle w:val="42"/>
              <w:jc w:val="left"/>
              <w:ind w:right="75"/>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748 000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2 078 000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90"/>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2 106 000</w:t>
            </w:r>
          </w:p>
        </w:tc>
        <w:tc>
          <w:tcPr>
            <w:tcW w:w="1290" w:type="dxa"/>
            <w:shd w:val="clear" w:color="auto" w:fill="FFFFFF"/>
          </w:tcPr>
          <w:p>
            <w:pPr>
              <w:jc w:val="right"/>
              <w:ind w:right="90"/>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632 000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1 905 000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-1,33</w:t>
            </w:r>
          </w:p>
        </w:tc>
      </w:tr>
      <w:tr>
        <w:tc>
          <w:tcPr>
            <w:tcW w:w="242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135" w:after="135"/>
            </w:pPr>
            <w:r>
              <w:rPr>
                <w:sz w:val="20"/>
              </w:rPr>
              <w:t>Moutgars/Malting barley</w:t>
            </w:r>
          </w:p>
        </w:tc>
        <w:tc>
          <w:tcPr>
            <w:tcW w:w="1260" w:type="dxa"/>
            <w:shd w:val="clear" w:color="auto" w:fill="FFFFFF"/>
          </w:tcPr>
          <w:p>
            <w:pPr>
              <w:pStyle w:val="42"/>
              <w:jc w:val="both"/>
              <w:ind w:right="-60"/>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68 245</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188 799</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188 799</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73 360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222 500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pPr>
            <w:r>
              <w:rPr>
                <w:rFonts w:ascii="Tahoma" w:hAnsi="Tahoma" w:cs="Tahoma" w:eastAsia="Tahoma"/>
                <w:sz w:val="20"/>
              </w:rPr>
              <w:t>-</w:t>
            </w:r>
          </w:p>
        </w:tc>
      </w:tr>
      <w:tr>
        <w:tc>
          <w:tcPr>
            <w:tcW w:w="2420" w:type="dxa"/>
            <w:shd w:val="clear" w:color="auto" w:fill="FFFFFF"/>
          </w:tcPr>
          <w:p>
            <w:pPr>
              <w:jc w:val="right"/>
              <w:ind w:right="105"/>
              <w:bidi w:val="0"/>
              <w:spacing w:before="135" w:after="135"/>
            </w:pPr>
            <w:r>
              <w:rPr>
                <w:rFonts w:ascii="Tahoma" w:hAnsi="Tahoma" w:cs="Tahoma" w:eastAsia="Tahoma"/>
              </w:rPr>
              <w:t/>
            </w:r>
          </w:p>
          <w:p>
            <w:pPr>
              <w:pStyle w:val="42"/>
              <w:jc w:val="both"/>
              <w:ind w:right="-60"/>
              <w:bidi w:val="0"/>
              <w:spacing w:before="135" w:after="135"/>
            </w:pPr>
            <w:r>
              <w:rPr>
                <w:sz w:val="20"/>
              </w:rPr>
              <w:t>Kanola/Canola</w:t>
            </w:r>
          </w:p>
        </w:tc>
        <w:tc>
          <w:tcPr>
            <w:tcW w:w="1260" w:type="dxa"/>
            <w:shd w:val="clear" w:color="auto" w:fill="FFFFFF"/>
          </w:tcPr>
          <w:p>
            <w:pPr>
              <w:pStyle w:val="42"/>
              <w:jc w:val="both"/>
              <w:ind w:right="-60"/>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34 000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34 000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35 700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33 200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38 150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-4,76</w:t>
            </w:r>
          </w:p>
        </w:tc>
      </w:tr>
      <w:tr>
        <w:tc>
          <w:tcPr>
            <w:tcW w:w="242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135" w:after="135"/>
            </w:pPr>
            <w:r>
              <w:rPr>
                <w:sz w:val="20"/>
              </w:rPr>
              <w:t>TOTAAL/TOTAL</w:t>
            </w:r>
          </w:p>
        </w:tc>
        <w:tc>
          <w:tcPr>
            <w:tcW w:w="1260" w:type="dxa"/>
            <w:shd w:val="clear" w:color="auto" w:fill="FFFFFF"/>
          </w:tcPr>
          <w:p>
            <w:pPr>
              <w:pStyle w:val="42"/>
              <w:jc w:val="both"/>
              <w:ind w:right="-60"/>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850 245</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2 300 799</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2 330 499</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738 560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2  165 650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-1,27</w:t>
            </w:r>
          </w:p>
        </w:tc>
      </w:tr>
    </w:tbl>
    <w:p>
      <w:pPr>
        <w:bidi w:val="0"/>
      </w:pPr>
      <w:r>
        <w:rPr>
          <w:rFonts w:ascii="Tahoma" w:hAnsi="Tahoma" w:cs="Tahoma" w:eastAsia="Tahoma"/>
        </w:rPr>
        <w:t/>
      </w:r>
    </w:p>
    <w:p>
      <w:pPr>
        <w:pStyle w:val="42"/>
        <w:ind w:right="-60"/>
        <w:bidi w:val="0"/>
      </w:pPr>
      <w:r>
        <w:rPr>
          <w:sz w:val="16"/>
        </w:rP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rPr>
          <w:sz w:val="20"/>
        </w:rPr>
        <w:t>KORING – OPPERVLAK- EN VIERDE PRODUKSIESKATTING: 2008-SEISOEN</w:t>
      </w:r>
    </w:p>
    <w:p>
      <w:pPr>
        <w:pStyle w:val="42"/>
        <w:jc w:val="left"/>
        <w:ind w:right="-60"/>
        <w:bidi w:val="0"/>
      </w:pPr>
      <w:r>
        <w:rPr>
          <w:sz w:val="20"/>
        </w:rPr>
        <w:t>WHEAT – AREA PLANTED AND FOURTH PRODUCTION FORECAST: 2008 SEASON</w:t>
      </w:r>
    </w:p>
    <w:p>
      <w:pPr>
        <w:pStyle w:val="42"/>
        <w:jc w:val="left"/>
        <w:ind w:right="-60"/>
        <w:bidi w:val="0"/>
      </w:pPr>
      <w:r>
        <w:t/>
      </w:r>
    </w:p>
    <w:p>
      <w:pPr>
        <w:bidi w:val="0"/>
      </w:pPr>
      <w:r>
        <w:rPr>
          <w:rFonts w:ascii="Tahoma" w:hAnsi="Tahoma" w:cs="Tahoma" w:eastAsia="Tahoma"/>
        </w:rPr>
        <w:t/>
      </w:r>
    </w:p>
    <w:tbl>
      <w:tblPr>
        <w:tblW w:w="14100" w:type="dxa"/>
        <w:tblLayout w:type="fixed"/>
        <w:tblCellMar>
          <w:top w:w="0" w:type="dxa"/>
          <w:left w:w="0" w:type="dxa"/>
          <w:bottom w:w="0" w:type="dxa"/>
          <w:right w:w="0" w:type="dxa"/>
        </w:tblCellMar>
      </w:tblPr>
      <w:tblGrid>
        <w:gridCol w:w="2895"/>
        <w:gridCol w:w="2235"/>
        <w:gridCol w:w="2235"/>
        <w:gridCol w:w="2235"/>
        <w:gridCol w:w="2235"/>
        <w:gridCol w:w="2235"/>
      </w:tblGrid>
      <w:tr>
        <w:tc>
          <w:tcPr>
            <w:tcW w:w="290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Province</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Ha</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4</w:t>
            </w:r>
            <w:r>
              <w:rPr>
                <w:rFonts w:ascii="Tahoma" w:hAnsi="Tahoma" w:cs="Tahoma" w:eastAsia="Tahoma"/>
                <w:vertAlign w:val="superscript"/>
                <w:sz w:val="20"/>
              </w:rPr>
              <w:t xml:space="preserve">de </w:t>
            </w:r>
            <w:r>
              <w:rPr>
                <w:rFonts w:ascii="Tahoma" w:hAnsi="Tahoma" w:cs="Tahoma" w:eastAsia="Tahoma"/>
                <w:sz w:val="20"/>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4</w:t>
            </w:r>
            <w:r>
              <w:rPr>
                <w:rFonts w:ascii="Tahoma" w:hAnsi="Tahoma" w:cs="Tahoma" w:eastAsia="Tahoma"/>
                <w:vertAlign w:val="superscript"/>
                <w:sz w:val="20"/>
              </w:rPr>
              <w:t>th</w:t>
            </w:r>
            <w:r>
              <w:rPr>
                <w:rFonts w:ascii="Tahoma" w:hAnsi="Tahoma" w:cs="Tahoma" w:eastAsia="Tahoma"/>
                <w:sz w:val="20"/>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Tons</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w:t>
            </w:r>
            <w:r>
              <w:rPr>
                <w:rFonts w:ascii="Tahoma" w:hAnsi="Tahoma" w:cs="Tahoma" w:eastAsia="Tahoma"/>
                <w:vertAlign w:val="superscript"/>
                <w:sz w:val="20"/>
              </w:rPr>
              <w:t xml:space="preserve">de </w:t>
            </w:r>
            <w:r>
              <w:rPr>
                <w:rFonts w:ascii="Tahoma" w:hAnsi="Tahoma" w:cs="Tahoma" w:eastAsia="Tahoma"/>
                <w:sz w:val="20"/>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w:t>
            </w:r>
            <w:r>
              <w:rPr>
                <w:rFonts w:ascii="Tahoma" w:hAnsi="Tahoma" w:cs="Tahoma" w:eastAsia="Tahoma"/>
                <w:vertAlign w:val="superscript"/>
                <w:sz w:val="20"/>
              </w:rPr>
              <w:t>rd</w:t>
            </w:r>
            <w:r>
              <w:rPr>
                <w:rFonts w:ascii="Tahoma" w:hAnsi="Tahoma" w:cs="Tahoma" w:eastAsia="Tahoma"/>
                <w:sz w:val="20"/>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Tons</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Ha</w:t>
            </w:r>
          </w:p>
        </w:tc>
        <w:tc>
          <w:tcPr>
            <w:tcW w:w="224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Tons</w:t>
            </w:r>
          </w:p>
        </w:tc>
      </w:tr>
      <w:tr>
        <w:tc>
          <w:tcPr>
            <w:tcW w:w="290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2240" w:type="dxa"/>
            <w:shd w:val="clear" w:color="auto" w:fill="FFFFFF"/>
          </w:tcPr>
          <w:p>
            <w:pPr>
              <w:pStyle w:val="42"/>
              <w:ind w:right="-60"/>
              <w:bidi w:val="0"/>
              <w:spacing w:before="15"/>
            </w:pPr>
            <w:r>
              <w:rPr>
                <w:sz w:val="20"/>
              </w:rPr>
              <w:t>2008</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2008</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2008</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2007</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2007</w:t>
            </w:r>
          </w:p>
        </w:tc>
      </w:tr>
      <w:tr>
        <w:tc>
          <w:tcPr>
            <w:tcW w:w="290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Wes-Kaap/Western Cape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350 000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822 500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822 500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325 000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812 000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Noord-Kaap/Northern Cape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50 000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315 000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315 000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42 000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264 500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Vrystaat/Free State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280 000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588 000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616 000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215 000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570 000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Oos-Kaap/Eastern Cape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5 500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3 800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15 200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KwaZulu-Natal</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7 500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35 250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35 250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6 000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28 800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20"/>
              </w:rPr>
              <w:t>Mpumalanga</w:t>
            </w:r>
          </w:p>
        </w:tc>
        <w:tc>
          <w:tcPr>
            <w:tcW w:w="224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20"/>
              </w:rPr>
              <w:t>8 000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41 600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41 600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25 000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20"/>
              </w:rPr>
              <w:t>Limpopo</w:t>
            </w:r>
          </w:p>
        </w:tc>
        <w:tc>
          <w:tcPr>
            <w:tcW w:w="224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20"/>
              </w:rPr>
              <w:t>20 000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60 450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Gauteng</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12 400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12 400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1 700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11 050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20"/>
              </w:rPr>
              <w:t>Noordwes/North West</w:t>
            </w:r>
          </w:p>
        </w:tc>
        <w:tc>
          <w:tcPr>
            <w:tcW w:w="224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20"/>
              </w:rPr>
              <w:t>25 000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131 250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131 250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22 500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118 000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Totaal/Total</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748 000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2 078 000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2 106 000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632 000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1 905 000</w:t>
            </w:r>
          </w:p>
        </w:tc>
      </w:tr>
    </w:tbl>
    <w:p>
      <w:pPr>
        <w:bidi w:val="0"/>
      </w:pPr>
      <w:r>
        <w:rPr>
          <w:rFonts w:ascii="Tahoma" w:hAnsi="Tahoma" w:cs="Tahoma" w:eastAsia="Tahoma"/>
        </w:rPr>
        <w:t/>
      </w:r>
    </w:p>
    <w:p>
      <w:r>
        <w:br w:type="page"/>
      </w:r>
    </w:p>
    <w:p>
      <w:pPr>
        <w:pStyle w:val="42"/>
        <w:bidi w:val="0"/>
      </w:pPr>
      <w:r>
        <w:rPr>
          <w:b/>
          <w:sz w:val="20"/>
        </w:rPr>
        <w:t>AREA PLANTED AND FOURTH PRODUCTION FORECAST OF WINTER CEREALS/</w:t>
      </w:r>
      <w:r>
        <w:br/>
      </w:r>
      <w:r>
        <w:rPr>
          <w:b/>
          <w:sz w:val="20"/>
        </w:rPr>
        <w:t xml:space="preserve">OPPERVLAK - EN VIERDE PRODUKSIESKATTING VIR WINTERGEWASSE  </w:t>
      </w:r>
    </w:p>
    <w:p>
      <w:pPr>
        <w:pStyle w:val="42"/>
        <w:bidi w:val="0"/>
      </w:pPr>
      <w:r>
        <w:rPr>
          <w:b/>
          <w:sz w:val="20"/>
        </w:rPr>
        <w:t>25 NOVEMBER 2008</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755"/>
        <w:gridCol w:w="570"/>
        <w:gridCol w:w="7560"/>
      </w:tblGrid>
      <w:tr>
        <w:tc>
          <w:tcPr>
            <w:tcW w:w="7760" w:type="dxa"/>
            <w:shd w:val="clear" w:color="auto" w:fill="FFFFFF"/>
          </w:tcPr>
          <w:p>
            <w:pPr>
              <w:jc w:val="both"/>
              <w:ind w:left="255" w:right="255"/>
              <w:bidi w:val="0"/>
              <w:spacing w:after="120"/>
            </w:pPr>
            <w:r>
              <w:rPr>
                <w:rFonts w:ascii="Tahoma" w:hAnsi="Tahoma" w:cs="Tahoma" w:eastAsia="Tahoma"/>
                <w:b/>
                <w:u w:val="single"/>
                <w:sz w:val="20"/>
              </w:rPr>
              <w:t>Winter cereal crops - 2008 production season</w:t>
            </w:r>
          </w:p>
          <w:p>
            <w:pPr>
              <w:jc w:val="both"/>
              <w:ind w:left="255" w:right="255"/>
              <w:bidi w:val="0"/>
              <w:spacing w:before="120" w:after="120"/>
            </w:pPr>
            <w:r>
              <w:rPr>
                <w:rFonts w:ascii="Tahoma" w:hAnsi="Tahoma" w:cs="Tahoma" w:eastAsia="Tahoma"/>
                <w:b/>
                <w:u w:val="single"/>
                <w:sz w:val="20"/>
              </w:rPr>
              <w:t>Wheat:</w:t>
            </w:r>
            <w:r>
              <w:rPr>
                <w:rFonts w:ascii="Tahoma" w:hAnsi="Tahoma" w:cs="Tahoma" w:eastAsia="Tahoma"/>
                <w:sz w:val="20"/>
              </w:rPr>
              <w:t xml:space="preserve">  The production forecast for wheat was reduced to 2,078 million tons, which is 1,33% or 28  000 tons lower than the previous forecast of 2,106 million tons.  The yield is 2,78 t/ha.  The expected production in the Western Cape and Northern Cape was left unchanged at 822  500 and 315 000 tons, respectively. The expected production in the Free State was adjusted downward to 588  000 tons.</w:t>
            </w:r>
          </w:p>
          <w:p>
            <w:pPr>
              <w:jc w:val="both"/>
              <w:ind w:left="255" w:right="255"/>
              <w:bidi w:val="0"/>
              <w:spacing w:after="120"/>
            </w:pPr>
            <w:r>
              <w:rPr>
                <w:rFonts w:ascii="Tahoma" w:hAnsi="Tahoma" w:cs="Tahoma" w:eastAsia="Tahoma"/>
                <w:sz w:val="20"/>
              </w:rPr>
              <w:t xml:space="preserve">The area planted to wheat remained unchanged at 748  000 ha.  An estimated 350  000 ha or 47% is planted in the Western Cape, 280  000 ha or 37% in the Free State and 50  000 ha or 7% in the Northern Cape. </w:t>
            </w:r>
          </w:p>
          <w:p>
            <w:pPr>
              <w:jc w:val="both"/>
              <w:ind w:left="255" w:right="255"/>
              <w:bidi w:val="0"/>
              <w:spacing w:after="120"/>
            </w:pPr>
            <w:r>
              <w:rPr>
                <w:rFonts w:ascii="Tahoma" w:hAnsi="Tahoma" w:cs="Tahoma" w:eastAsia="Tahoma"/>
                <w:sz w:val="20"/>
              </w:rPr>
              <w:t>The expected wheat crop was adjusted downward mainly as a result of unfavourable inland production conditions, especially the lack of sufficient rain in parts of the Free State.</w:t>
            </w:r>
          </w:p>
          <w:p>
            <w:pPr>
              <w:jc w:val="both"/>
              <w:ind w:left="255" w:right="75"/>
              <w:bidi w:val="0"/>
              <w:spacing w:after="120"/>
            </w:pPr>
            <w:r>
              <w:rPr>
                <w:rFonts w:ascii="Tahoma" w:hAnsi="Tahoma" w:cs="Tahoma" w:eastAsia="Tahoma"/>
                <w:b/>
                <w:u w:val="single"/>
                <w:sz w:val="20"/>
              </w:rPr>
              <w:t>Other crops:</w:t>
            </w:r>
            <w:r>
              <w:rPr>
                <w:rFonts w:ascii="Tahoma" w:hAnsi="Tahoma" w:cs="Tahoma" w:eastAsia="Tahoma"/>
                <w:sz w:val="20"/>
              </w:rPr>
              <w:t xml:space="preserve"> The production forecast for malting barley was left unchanged at 188  799 ton.  The area planted to malting barley remained unchanged at 68  245 ha, while the expected yield is 2,77  t/ha.</w:t>
            </w:r>
          </w:p>
          <w:p>
            <w:pPr>
              <w:jc w:val="both"/>
              <w:ind w:left="255" w:right="75"/>
              <w:bidi w:val="0"/>
              <w:spacing w:before="120" w:after="120"/>
            </w:pPr>
            <w:r>
              <w:rPr>
                <w:rFonts w:ascii="Tahoma" w:hAnsi="Tahoma" w:cs="Tahoma" w:eastAsia="Tahoma"/>
                <w:sz w:val="20"/>
              </w:rPr>
              <w:t>The expected canola crop is</w:t>
            </w:r>
            <w:r>
              <w:rPr>
                <w:rFonts w:ascii="Tahoma" w:hAnsi="Tahoma" w:cs="Tahoma" w:eastAsia="Tahoma"/>
                <w:b/>
                <w:sz w:val="20"/>
              </w:rPr>
              <w:t xml:space="preserve"> </w:t>
            </w:r>
            <w:r>
              <w:rPr>
                <w:rFonts w:ascii="Tahoma" w:hAnsi="Tahoma" w:cs="Tahoma" w:eastAsia="Tahoma"/>
                <w:sz w:val="20"/>
              </w:rPr>
              <w:t>34  000 tons, which is 4,76% less than the 35  700 tons of the previous forecast.  The area estimate for canola was left unchanged at 34  000 ha.  The expected yield is 1,00 t/ha.</w:t>
            </w:r>
          </w:p>
          <w:p>
            <w:pPr>
              <w:jc w:val="both"/>
              <w:ind w:left="255" w:right="75"/>
              <w:bidi w:val="0"/>
              <w:spacing w:after="120"/>
            </w:pPr>
            <w:r>
              <w:rPr>
                <w:rFonts w:ascii="Tahoma" w:hAnsi="Tahoma" w:cs="Tahoma" w:eastAsia="Tahoma"/>
                <w:sz w:val="20"/>
              </w:rPr>
              <w:t>Please note that the Crop Estimates Liaison Committee will finalise the size of the summer crops for the 2007/08 production season on 27  November 2008.</w:t>
            </w:r>
          </w:p>
          <w:p>
            <w:pPr>
              <w:jc w:val="both"/>
              <w:ind w:left="255" w:right="75"/>
              <w:bidi w:val="0"/>
              <w:spacing w:after="195"/>
            </w:pPr>
            <w:r>
              <w:rPr>
                <w:rFonts w:ascii="Tahoma" w:hAnsi="Tahoma" w:cs="Tahoma" w:eastAsia="Tahoma"/>
                <w:sz w:val="20"/>
              </w:rPr>
              <w:t>Please also note that the fifth production forecast for winter cereals for the 2008 production season will be released on 18  December 2008.</w:t>
            </w:r>
          </w:p>
          <w:p>
            <w:pPr>
              <w:jc w:val="both"/>
              <w:ind w:left="255" w:right="255"/>
              <w:bidi w:val="0"/>
              <w:spacing w:after="120"/>
              <w:tabs>
                <w:tab w:val="left" w:pos="6645"/>
              </w:tabs>
            </w:pPr>
            <w:r>
              <w:rPr>
                <w:rFonts w:ascii="Tahoma" w:hAnsi="Tahoma" w:cs="Tahoma" w:eastAsia="Tahoma"/>
                <w:sz w:val="20"/>
              </w:rPr>
              <w:t xml:space="preserve">Information is available on the internet at </w:t>
            </w:r>
            <w:hyperlink r:id="hrId3">
              <w:r>
                <w:rPr>
                  <w:rFonts w:ascii="Tahoma" w:hAnsi="Tahoma" w:cs="Tahoma" w:eastAsia="Tahoma"/>
                  <w:u w:val="single"/>
                  <w:sz w:val="20"/>
                  <w:color w:val="0000FF"/>
                </w:rPr>
                <w:t>http://www.nda.agric.za/food</w:t>
              </w:r>
            </w:hyperlink>
            <w:r>
              <w:rPr>
                <w:rFonts w:ascii="Tahoma" w:hAnsi="Tahoma" w:cs="Tahoma" w:eastAsia="Tahoma"/>
                <w:u w:val="single"/>
                <w:sz w:val="20"/>
                <w:color w:val="0000FF"/>
              </w:rPr>
              <w:t xml:space="preserve"> security issues</w:t>
            </w:r>
            <w:r>
              <w:rPr>
                <w:rFonts w:ascii="Tahoma" w:hAnsi="Tahoma" w:cs="Tahoma" w:eastAsia="Tahoma"/>
                <w:sz w:val="20"/>
              </w:rPr>
              <w:t xml:space="preserve"> or</w:t>
            </w:r>
            <w:r>
              <w:rPr>
                <w:rFonts w:ascii="Tahoma" w:hAnsi="Tahoma" w:cs="Tahoma" w:eastAsia="Tahoma"/>
                <w:u w:val="single"/>
                <w:sz w:val="20"/>
                <w:color w:val="0000FF"/>
              </w:rPr>
              <w:t xml:space="preserve"> </w:t>
            </w:r>
            <w:hyperlink r:id="hrId4">
              <w:r>
                <w:rPr>
                  <w:rFonts w:ascii="Tahoma" w:hAnsi="Tahoma" w:cs="Tahoma" w:eastAsia="Tahoma"/>
                  <w:u w:val="single"/>
                  <w:sz w:val="20"/>
                  <w:color w:val="0000FF"/>
                </w:rPr>
                <w:t>http://www.sagis.org.za</w:t>
              </w:r>
            </w:hyperlink>
            <w:r>
              <w:rPr>
                <w:rFonts w:ascii="Tahoma" w:hAnsi="Tahoma" w:cs="Tahoma" w:eastAsia="Tahoma"/>
                <w:sz w:val="20"/>
              </w:rPr>
              <w:t>, as from 14:30 on the date of the relevant meeting of the Crop Estimates Committee.</w:t>
            </w:r>
          </w:p>
        </w:tc>
        <w:tc>
          <w:tcPr>
            <w:tcW w:w="570" w:type="dxa"/>
            <w:shd w:val="clear" w:color="auto" w:fill="FFFFFF"/>
          </w:tcPr>
          <w:p>
            <w:pPr>
              <w:jc w:val="both"/>
              <w:ind w:left="255" w:right="255"/>
              <w:bidi w:val="0"/>
              <w:spacing w:after="120"/>
              <w:tabs>
                <w:tab w:val="left" w:pos="6645"/>
              </w:tabs>
            </w:pPr>
            <w:r>
              <w:rPr>
                <w:rFonts w:ascii="Tahoma" w:hAnsi="Tahoma" w:cs="Tahoma" w:eastAsia="Tahoma"/>
              </w:rPr>
              <w:t/>
            </w:r>
          </w:p>
          <w:p>
            <w:pPr>
              <w:jc w:val="both"/>
              <w:ind w:left="255" w:right="255"/>
              <w:bidi w:val="0"/>
              <w:spacing w:after="120"/>
            </w:pPr>
            <w:r>
              <w:rPr>
                <w:rFonts w:ascii="Tahoma" w:hAnsi="Tahoma" w:cs="Tahoma" w:eastAsia="Tahoma"/>
              </w:rPr>
              <w:t/>
            </w:r>
          </w:p>
        </w:tc>
        <w:tc>
          <w:tcPr>
            <w:tcW w:w="7560" w:type="dxa"/>
            <w:shd w:val="clear" w:color="auto" w:fill="FFFFFF"/>
          </w:tcPr>
          <w:p>
            <w:pPr>
              <w:jc w:val="both"/>
              <w:ind w:left="255" w:right="255"/>
              <w:bidi w:val="0"/>
              <w:spacing w:after="120"/>
            </w:pPr>
            <w:r>
              <w:rPr>
                <w:rFonts w:ascii="Tahoma" w:hAnsi="Tahoma" w:cs="Tahoma" w:eastAsia="Tahoma"/>
                <w:b/>
                <w:u w:val="single"/>
                <w:sz w:val="20"/>
              </w:rPr>
              <w:t>Wintergewasse - 2008 produksie-seisoen</w:t>
            </w:r>
          </w:p>
          <w:p>
            <w:pPr>
              <w:jc w:val="both"/>
              <w:ind w:left="255" w:right="255"/>
              <w:bidi w:val="0"/>
              <w:spacing w:before="120" w:after="120"/>
            </w:pPr>
            <w:r>
              <w:rPr>
                <w:rFonts w:ascii="Tahoma" w:hAnsi="Tahoma" w:cs="Tahoma" w:eastAsia="Tahoma"/>
                <w:b/>
                <w:u w:val="single"/>
                <w:sz w:val="20"/>
              </w:rPr>
              <w:t>Koring:</w:t>
            </w:r>
            <w:r>
              <w:rPr>
                <w:rFonts w:ascii="Tahoma" w:hAnsi="Tahoma" w:cs="Tahoma" w:eastAsia="Tahoma"/>
                <w:sz w:val="20"/>
              </w:rPr>
              <w:t xml:space="preserve">  Die produksieskatting vir koring is afwaarts aangepas na 2,078 miljoen ton, wat 1,33% of 28  000 ton minder is as 2,106 miljoen ton van die vorige skatting.  Die opbrengs is 2,78 t/ha.  Die verwagte produksie in die Wes-Kaap en Noord-Kaap is onveranderd gelaat op onderskeidelik 822  500 en 315 000 ton.  Die verwagte produksie in die Vrystaat is afwaarts aangepas na 588  000 ton.</w:t>
            </w:r>
          </w:p>
          <w:p>
            <w:pPr>
              <w:jc w:val="both"/>
              <w:ind w:left="255" w:right="255"/>
              <w:bidi w:val="0"/>
              <w:spacing w:after="120"/>
            </w:pPr>
            <w:r>
              <w:rPr>
                <w:rFonts w:ascii="Tahoma" w:hAnsi="Tahoma" w:cs="Tahoma" w:eastAsia="Tahoma"/>
                <w:sz w:val="20"/>
              </w:rPr>
              <w:t>Die oppervlakte beplant met koring is onveranderd gelaat op 748  000 ha.  Die beraamde oppervlakte geplant in die Wes-Kaap is 350  000 ha of 47%, die Vrystaat is 280  000 ha of 37% en 50  000 ha of 7% is in die Noord-Kaap.</w:t>
            </w:r>
          </w:p>
          <w:p>
            <w:pPr>
              <w:jc w:val="both"/>
              <w:ind w:left="255" w:right="255"/>
              <w:bidi w:val="0"/>
              <w:spacing w:after="120"/>
            </w:pPr>
            <w:r>
              <w:rPr>
                <w:rFonts w:ascii="Tahoma" w:hAnsi="Tahoma" w:cs="Tahoma" w:eastAsia="Tahoma"/>
                <w:sz w:val="20"/>
              </w:rPr>
              <w:t>Die verwagte koring-oes is afwaarts aangepas hoofsaaklik as gevolg van ongunstige binnelandse produksietoestande, met spesifieke verwysing na die tekort aan voldoende reën in dele van die Vrystaat.</w:t>
            </w:r>
          </w:p>
          <w:p>
            <w:pPr>
              <w:jc w:val="both"/>
              <w:ind w:left="255" w:right="75"/>
              <w:bidi w:val="0"/>
              <w:spacing w:after="120"/>
            </w:pPr>
            <w:r>
              <w:rPr>
                <w:rFonts w:ascii="Tahoma" w:hAnsi="Tahoma" w:cs="Tahoma" w:eastAsia="Tahoma"/>
                <w:b/>
                <w:u w:val="single"/>
                <w:sz w:val="20"/>
              </w:rPr>
              <w:t>Ander gewasse</w:t>
            </w:r>
            <w:r>
              <w:rPr>
                <w:rFonts w:ascii="Tahoma" w:hAnsi="Tahoma" w:cs="Tahoma" w:eastAsia="Tahoma"/>
                <w:sz w:val="20"/>
              </w:rPr>
              <w:t>: Die produksieskatting vir moutgars is onveranderd gelaat op 188</w:t>
            </w:r>
            <w:r>
              <w:rPr>
                <w:rFonts w:ascii="Tahoma" w:hAnsi="Tahoma" w:cs="Tahoma" w:eastAsia="Tahoma"/>
                <w:b/>
                <w:sz w:val="20"/>
              </w:rPr>
              <w:t xml:space="preserve">  </w:t>
            </w:r>
            <w:r>
              <w:rPr>
                <w:rFonts w:ascii="Tahoma" w:hAnsi="Tahoma" w:cs="Tahoma" w:eastAsia="Tahoma"/>
                <w:sz w:val="20"/>
              </w:rPr>
              <w:t>799 ton.  Die oppervlakte beplant met moutgars is onveranderd gelaat op 68  245 ha, met ‘n verwagte opbrengs van 2,77 t/ha.</w:t>
            </w:r>
          </w:p>
          <w:p>
            <w:pPr>
              <w:jc w:val="both"/>
              <w:ind w:left="255" w:right="75"/>
              <w:bidi w:val="0"/>
              <w:spacing w:after="120"/>
            </w:pPr>
            <w:r>
              <w:rPr>
                <w:rFonts w:ascii="Tahoma" w:hAnsi="Tahoma" w:cs="Tahoma" w:eastAsia="Tahoma"/>
                <w:sz w:val="20"/>
              </w:rPr>
              <w:t>Die verwagte kanola-oes is 34  000 ton wat 4,76% minder is as die 35  700 ton van die vorige skatting.  Die oppervlakteskatting vir kanola is onveranderd gelaat op 34  000 ha.  Die verwagte opbrengs is</w:t>
            </w:r>
            <w:r>
              <w:rPr>
                <w:rFonts w:ascii="Tahoma" w:hAnsi="Tahoma" w:cs="Tahoma" w:eastAsia="Tahoma"/>
                <w:b/>
                <w:sz w:val="20"/>
              </w:rPr>
              <w:t xml:space="preserve"> </w:t>
            </w:r>
            <w:r>
              <w:rPr>
                <w:rFonts w:ascii="Tahoma" w:hAnsi="Tahoma" w:cs="Tahoma" w:eastAsia="Tahoma"/>
                <w:sz w:val="20"/>
              </w:rPr>
              <w:t>1,00 t/ha.</w:t>
            </w:r>
          </w:p>
          <w:p>
            <w:pPr>
              <w:jc w:val="both"/>
              <w:ind w:left="255" w:right="135"/>
              <w:bidi w:val="0"/>
              <w:spacing w:after="120"/>
              <w:tabs>
                <w:tab w:val="left" w:pos="6645"/>
              </w:tabs>
            </w:pPr>
            <w:r>
              <w:rPr>
                <w:rFonts w:ascii="Tahoma" w:hAnsi="Tahoma" w:cs="Tahoma" w:eastAsia="Tahoma"/>
                <w:sz w:val="20"/>
              </w:rPr>
              <w:t>Neem asseblief kennis dat die Oesskattingskakelkomitee die somer-oeste vir die 2007/08-produksieseisoen op 27  November 2008 gaan finaliseer.</w:t>
            </w:r>
          </w:p>
          <w:p>
            <w:pPr>
              <w:jc w:val="both"/>
              <w:ind w:left="255" w:right="255"/>
              <w:bidi w:val="0"/>
              <w:spacing w:after="60"/>
              <w:tabs>
                <w:tab w:val="left" w:pos="6645"/>
              </w:tabs>
            </w:pPr>
            <w:r>
              <w:rPr>
                <w:rFonts w:ascii="Tahoma" w:hAnsi="Tahoma" w:cs="Tahoma" w:eastAsia="Tahoma"/>
                <w:sz w:val="20"/>
              </w:rPr>
              <w:t>Neem ook asseblief kennis dat die vyfde produksieskatting vir wintergewasse vir die 2008 produksieseisoen op 18  Desember 2008 vrygestel sal word.</w:t>
            </w:r>
          </w:p>
          <w:p>
            <w:pPr>
              <w:pStyle w:val="17"/>
              <w:jc w:val="both"/>
              <w:ind w:left="255" w:right="255"/>
              <w:bidi w:val="0"/>
              <w:spacing w:before="120"/>
              <w:tabs>
                <w:tab w:val="left" w:pos="6645"/>
              </w:tabs>
            </w:pPr>
            <w:r>
              <w:rPr>
                <w:rFonts w:ascii="Tahoma" w:hAnsi="Tahoma" w:cs="Tahoma" w:eastAsia="Tahoma"/>
                <w:sz w:val="20"/>
              </w:rPr>
              <w:t xml:space="preserve">Inligting is beskikbaar op die internet by </w:t>
            </w:r>
            <w:hyperlink r:id="hrId5">
              <w:r>
                <w:rPr>
                  <w:rFonts w:ascii="Tahoma" w:hAnsi="Tahoma" w:cs="Tahoma" w:eastAsia="Tahoma"/>
                  <w:u w:val="single"/>
                  <w:sz w:val="20"/>
                  <w:color w:val="0000FF"/>
                </w:rPr>
                <w:t>http://www.nda.agric.za/food</w:t>
              </w:r>
            </w:hyperlink>
            <w:r>
              <w:rPr>
                <w:rFonts w:ascii="Tahoma" w:hAnsi="Tahoma" w:cs="Tahoma" w:eastAsia="Tahoma"/>
                <w:u w:val="single"/>
                <w:sz w:val="20"/>
                <w:color w:val="0000FF"/>
              </w:rPr>
              <w:t xml:space="preserve"> security issues</w:t>
            </w:r>
            <w:r>
              <w:rPr>
                <w:rFonts w:ascii="Tahoma" w:hAnsi="Tahoma" w:cs="Tahoma" w:eastAsia="Tahoma"/>
                <w:sz w:val="20"/>
              </w:rPr>
              <w:t xml:space="preserve"> of by </w:t>
            </w:r>
            <w:hyperlink r:id="hrId6">
              <w:r>
                <w:rPr>
                  <w:rFonts w:ascii="Tahoma" w:hAnsi="Tahoma" w:cs="Tahoma" w:eastAsia="Tahoma"/>
                  <w:sz w:val="20"/>
                </w:rPr>
                <w:t>http://www.sagis.org.za</w:t>
              </w:r>
            </w:hyperlink>
            <w:r>
              <w:rPr>
                <w:rFonts w:ascii="Tahoma" w:hAnsi="Tahoma" w:cs="Tahoma" w:eastAsia="Tahoma"/>
                <w:sz w:val="20"/>
              </w:rPr>
              <w:t>, vanaf 14:30 op die dag van die toepaslike vergadering van die Oesskattingskomitee.</w:t>
            </w:r>
          </w:p>
        </w:tc>
      </w:tr>
    </w:tbl>
    <w:p>
      <w:pPr>
        <w:bidi w:val="0"/>
      </w:pPr>
      <w:r>
        <w:rPr>
          <w:rFonts w:ascii="Tahoma" w:hAnsi="Tahoma" w:cs="Tahoma" w:eastAsia="Tahoma"/>
        </w:rPr>
        <w:t/>
      </w:r>
    </w:p>
    <w:p>
      <w:pPr>
        <w:pStyle w:val="42"/>
        <w:jc w:val="left"/>
        <w:ind w:right="-60"/>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9"/>
    <w:next w:val="39"/>
    <w:pPr>
      <w:spacing w:before="0" w:after="0"/>
      <w:tabs>
        <w:tab w:val="left" w:pos="435"/>
        <w:tab w:val="clear" w:pos="0"/>
      </w:tabs>
    </w:pPr>
    <w:rPr>
      <w:rFonts w:ascii="Tahoma" w:hAnsi="Tahoma" w:cs="Tahoma" w:eastAsia="Tahoma"/>
      <w:b w:val="0"/>
      <w:sz w:val="24"/>
    </w:rPr>
  </w:style>
  <w:style w:type="paragraph" w:styleId="5">
    <w:name w:val="Numbered Heading 2"/>
    <w:basedOn w:val="30"/>
    <w:next w:val="39"/>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ahoma" w:hAnsi="Tahoma" w:cs="Tahoma" w:eastAsia="Tahoma"/>
      <w:b w:val="0"/>
    </w:rPr>
  </w:style>
  <w:style w:type="paragraph" w:styleId="12">
    <w:name w:val="Numbered List"/>
    <w:pPr>
      <w:ind w:left="720" w:hanging="435"/>
    </w:pPr>
    <w:rPr>
      <w:rFonts w:ascii="Tahoma" w:hAnsi="Tahoma" w:cs="Tahoma" w:eastAsia="Tahoma"/>
      <w:sz w:val="24"/>
    </w:rPr>
  </w:style>
  <w:style w:type="character" w:styleId="c13">
    <w:name w:val="Endnote Reference"/>
    <w:basedOn w:val="def"/>
    <w:rPr>
      <w:rFonts w:ascii="Tahoma" w:hAnsi="Tahoma" w:cs="Tahoma" w:eastAsia="Tahoma"/>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ahoma" w:hAnsi="Tahoma" w:cs="Tahoma" w:eastAsia="Tahoma"/>
      <w:sz w:val="24"/>
    </w:rPr>
  </w:style>
  <w:style w:type="paragraph" w:styleId="16">
    <w:name w:val="Square List"/>
    <w:pPr>
      <w:ind w:left="720" w:hanging="435"/>
    </w:pPr>
    <w:rPr>
      <w:rFonts w:ascii="Tahoma" w:hAnsi="Tahoma" w:cs="Tahoma" w:eastAsia="Tahoma"/>
      <w:sz w:val="24"/>
    </w:rPr>
  </w:style>
  <w:style w:type="paragraph" w:styleId="17">
    <w:name w:val="Body Text"/>
    <w:basedOn w:val="39"/>
    <w:pPr>
      <w:spacing w:after="120"/>
    </w:pPr>
  </w:style>
  <w:style w:type="paragraph" w:styleId="18">
    <w:name w:val="Dashed List"/>
    <w:pPr>
      <w:ind w:left="720" w:hanging="435"/>
    </w:pPr>
    <w:rPr>
      <w:rFonts w:ascii="Tahoma" w:hAnsi="Tahoma" w:cs="Tahoma" w:eastAsia="Tahoma"/>
      <w:sz w:val="24"/>
    </w:rPr>
  </w:style>
  <w:style w:type="paragraph" w:styleId="19">
    <w:name w:val="Upper Roman List"/>
    <w:basedOn w:val="12"/>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ahoma" w:hAnsi="Tahoma" w:cs="Tahoma" w:eastAsia="Tahoma"/>
      <w:sz w:val="24"/>
    </w:rPr>
  </w:style>
  <w:style w:type="paragraph" w:styleId="27">
    <w:name w:val="Hand List"/>
    <w:pPr>
      <w:ind w:left="720" w:hanging="435"/>
    </w:pPr>
    <w:rPr>
      <w:rFonts w:ascii="Tahoma" w:hAnsi="Tahoma" w:cs="Tahoma" w:eastAsia="Tahoma"/>
      <w:sz w:val="24"/>
    </w:rPr>
  </w:style>
  <w:style w:type="paragraph" w:styleId="28">
    <w:name w:val="Footnote Text"/>
    <w:basedOn w:val="39"/>
    <w:link w:val="c28"/>
    <w:rPr>
      <w:rFonts w:ascii="Tahoma" w:hAnsi="Tahoma" w:cs="Tahoma" w:eastAsia="Tahoma"/>
      <w:sz w:val="20"/>
    </w:rPr>
  </w:style>
  <w:style w:type="character" w:styleId="c28">
    <w:name w:val="Footnote Text Text"/>
    <w:basedOn w:val="def"/>
    <w:link w:val="28"/>
    <w:rPr>
      <w:rFonts w:ascii="Tahoma" w:hAnsi="Tahoma" w:cs="Tahoma" w:eastAsia="Tahoma"/>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spacing w:before="435" w:after="60"/>
    </w:pPr>
    <w:rPr>
      <w:rFonts w:ascii="Arial" w:hAnsi="Arial" w:cs="Arial" w:eastAsia="Arial"/>
      <w:b/>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spacing w:before="435" w:after="60"/>
    </w:pPr>
    <w:rPr>
      <w:rFonts w:ascii="Arial" w:hAnsi="Arial" w:cs="Arial" w:eastAsia="Arial"/>
      <w:b/>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