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23"/>
              <w:bidi w:val="0"/>
              <w:spacing w:before="240"/>
            </w:pPr>
            <w:r>
              <w:rPr>
                <w:sz w:val="40"/>
              </w:rPr>
              <w:t>O</w:t>
            </w:r>
            <w:r>
              <w:rPr>
                <w:sz w:val="36"/>
              </w:rPr>
              <w:t>ESSKATTINGSKOMITEE</w:t>
            </w:r>
          </w:p>
        </w:tc>
        <w:tc>
          <w:tcPr>
            <w:tcW w:w="3240" w:type="dxa"/>
            <w:shd w:val="clear" w:color="auto" w:fill="FFFFFF"/>
          </w:tcPr>
          <w:p>
            <w:pPr>
              <w:pStyle w:val="2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2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2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23 September 2008</w:t>
      </w:r>
    </w:p>
    <w:p>
      <w:pPr>
        <w:jc w:val="both"/>
        <w:bidi w:val="0"/>
      </w:pPr>
      <w:r>
        <w:t/>
      </w:r>
    </w:p>
    <w:p>
      <w:pPr>
        <w:jc w:val="both"/>
        <w:bidi w:val="0"/>
      </w:pPr>
      <w:r>
        <w:t/>
      </w:r>
    </w:p>
    <w:p>
      <w:pPr>
        <w:bidi w:val="0"/>
      </w:pPr>
      <w:r>
        <w:rPr>
          <w:rFonts w:ascii="Tahoma" w:hAnsi="Tahoma" w:cs="Tahoma" w:eastAsia="Tahoma"/>
        </w:rPr>
        <w:t/>
      </w:r>
    </w:p>
    <w:p>
      <w:pPr>
        <w:bidi w:val="0"/>
      </w:pPr>
      <w:r>
        <w:t/>
      </w:r>
    </w:p>
    <w:p>
      <w:pPr>
        <w:pStyle w:val="42"/>
        <w:jc w:val="left"/>
        <w:ind w:right="-60"/>
        <w:bidi w:val="0"/>
        <w:spacing w:before="120" w:after="60"/>
      </w:pPr>
      <w:r>
        <w:t/>
      </w:r>
    </w:p>
    <w:p>
      <w:pPr>
        <w:pStyle w:val="42"/>
        <w:jc w:val="left"/>
        <w:ind w:right="-60"/>
        <w:bidi w:val="0"/>
        <w:spacing w:before="120" w:after="60"/>
      </w:pPr>
      <w:r>
        <w:t/>
      </w:r>
    </w:p>
    <w:p>
      <w:pPr>
        <w:bidi w:val="0"/>
      </w:pPr>
      <w:r>
        <w:rPr>
          <w:rFonts w:ascii="Tahoma" w:hAnsi="Tahoma" w:cs="Tahoma" w:eastAsia="Tahoma"/>
          <w:sz w:val="20"/>
        </w:rPr>
        <w:t>WINTERGEWASSE – OPPERVLAK- EN TWEEDE PRODUKSIESKATTING: 2008-SEISOEN</w:t>
      </w:r>
    </w:p>
    <w:p>
      <w:pPr>
        <w:pStyle w:val="42"/>
        <w:jc w:val="left"/>
        <w:ind w:right="-60"/>
        <w:bidi w:val="0"/>
        <w:spacing w:after="120"/>
      </w:pPr>
      <w:r>
        <w:rPr>
          <w:sz w:val="20"/>
        </w:rPr>
        <w:t>WINTER CEREALS – AREA PLANTED AND SECOND PRODUCTION FORECAST: 2008 SEASON</w:t>
      </w:r>
    </w:p>
    <w:p>
      <w:pPr>
        <w:bidi w:val="0"/>
      </w:pPr>
      <w:r>
        <w:rPr>
          <w:rFonts w:ascii="Tahoma" w:hAnsi="Tahoma" w:cs="Tahoma" w:eastAsia="Tahoma"/>
        </w:rPr>
        <w:t/>
      </w:r>
    </w:p>
    <w:tbl>
      <w:tblPr>
        <w:tblW w:w="10220" w:type="dxa"/>
        <w:tblLayout w:type="fixed"/>
        <w:tblCellMar>
          <w:top w:w="0" w:type="dxa"/>
          <w:left w:w="0" w:type="dxa"/>
          <w:bottom w:w="0" w:type="dxa"/>
          <w:right w:w="0" w:type="dxa"/>
        </w:tblCellMar>
        <w:tblInd w:w="-105" w:type="dxa"/>
      </w:tblPr>
      <w:tblGrid>
        <w:gridCol w:w="2415"/>
        <w:gridCol w:w="1260"/>
        <w:gridCol w:w="1290"/>
        <w:gridCol w:w="1290"/>
        <w:gridCol w:w="1290"/>
        <w:gridCol w:w="1290"/>
        <w:gridCol w:w="1380"/>
      </w:tblGrid>
      <w:tr>
        <w:tc>
          <w:tcPr>
            <w:tcW w:w="2420" w:type="dxa"/>
            <w:shd w:val="clear" w:color="auto" w:fill="FFFFFF"/>
          </w:tcPr>
          <w:p>
            <w:pPr>
              <w:pStyle w:val="42"/>
              <w:jc w:val="both"/>
              <w:ind w:right="-60"/>
              <w:bidi w:val="0"/>
              <w:spacing w:before="360"/>
            </w:pPr>
            <w:r>
              <w:rPr>
                <w:sz w:val="20"/>
              </w:rPr>
              <w:t>GEWAS/CROP</w:t>
            </w:r>
          </w:p>
        </w:tc>
        <w:tc>
          <w:tcPr>
            <w:tcW w:w="1260" w:type="dxa"/>
            <w:shd w:val="clear" w:color="auto" w:fill="FFFFFF"/>
          </w:tcPr>
          <w:p>
            <w:pPr>
              <w:pStyle w:val="42"/>
              <w:jc w:val="both"/>
              <w:ind w:right="-60"/>
              <w:bidi w:val="0"/>
              <w:spacing w:before="360"/>
            </w:pPr>
            <w:r>
              <w:rPr>
                <w:u w:val="none"/>
              </w:rPr>
              <w:t/>
            </w:r>
          </w:p>
          <w:p>
            <w:pPr>
              <w:pStyle w:val="42"/>
              <w:ind w:left="-60" w:right="-165"/>
              <w:bidi w:val="0"/>
              <w:spacing w:before="60"/>
            </w:pPr>
            <w:r>
              <w:rPr>
                <w:sz w:val="20"/>
              </w:rPr>
              <w:t>Opp beplant/</w:t>
            </w:r>
          </w:p>
          <w:p>
            <w:pPr>
              <w:pStyle w:val="42"/>
              <w:ind w:left="-60" w:right="-165"/>
              <w:bidi w:val="0"/>
              <w:spacing w:before="60"/>
            </w:pPr>
            <w:r>
              <w:rPr>
                <w:sz w:val="20"/>
              </w:rPr>
              <w:t>Area planted</w:t>
            </w:r>
          </w:p>
          <w:p>
            <w:pPr>
              <w:pStyle w:val="42"/>
              <w:ind w:left="-60" w:right="-165"/>
              <w:bidi w:val="0"/>
              <w:spacing w:before="60"/>
            </w:pPr>
            <w:r>
              <w:rPr>
                <w:sz w:val="20"/>
              </w:rPr>
              <w:t>2008</w:t>
            </w:r>
          </w:p>
        </w:tc>
        <w:tc>
          <w:tcPr>
            <w:tcW w:w="1290" w:type="dxa"/>
            <w:shd w:val="clear" w:color="auto" w:fill="FFFFFF"/>
          </w:tcPr>
          <w:p>
            <w:pPr>
              <w:pStyle w:val="42"/>
              <w:ind w:left="-60" w:right="-165"/>
              <w:bidi w:val="0"/>
              <w:spacing w:before="60"/>
            </w:pPr>
            <w:r>
              <w:rPr>
                <w:u w:val="none"/>
              </w:rPr>
              <w:t/>
            </w:r>
          </w:p>
          <w:p>
            <w:pPr>
              <w:pStyle w:val="42"/>
              <w:ind w:right="-60"/>
              <w:bidi w:val="0"/>
              <w:spacing w:before="60"/>
            </w:pPr>
            <w:r>
              <w:rPr>
                <w:sz w:val="20"/>
              </w:rPr>
              <w:t>2</w:t>
            </w:r>
            <w:r>
              <w:rPr>
                <w:vertAlign w:val="superscript"/>
                <w:sz w:val="20"/>
              </w:rPr>
              <w:t>de</w:t>
            </w:r>
            <w:r>
              <w:rPr>
                <w:sz w:val="20"/>
              </w:rPr>
              <w:t xml:space="preserve"> skatting/ 2</w:t>
            </w:r>
            <w:r>
              <w:rPr>
                <w:vertAlign w:val="superscript"/>
                <w:sz w:val="20"/>
              </w:rPr>
              <w:t>nd</w:t>
            </w:r>
            <w:r>
              <w:rPr>
                <w:sz w:val="20"/>
              </w:rPr>
              <w:t xml:space="preserve"> forecast</w:t>
            </w:r>
          </w:p>
          <w:p>
            <w:pPr>
              <w:pStyle w:val="42"/>
              <w:ind w:right="-60"/>
              <w:bidi w:val="0"/>
              <w:spacing w:before="60"/>
            </w:pPr>
            <w:r>
              <w:rPr>
                <w:sz w:val="20"/>
              </w:rPr>
              <w:t>2008</w:t>
            </w:r>
          </w:p>
        </w:tc>
        <w:tc>
          <w:tcPr>
            <w:tcW w:w="1290" w:type="dxa"/>
            <w:shd w:val="clear" w:color="auto" w:fill="FFFFFF"/>
          </w:tcPr>
          <w:p>
            <w:pPr>
              <w:pStyle w:val="42"/>
              <w:ind w:right="-60"/>
              <w:bidi w:val="0"/>
              <w:spacing w:before="60"/>
            </w:pPr>
            <w:r>
              <w:rPr>
                <w:u w:val="none"/>
              </w:rPr>
              <w:t/>
            </w:r>
          </w:p>
          <w:p>
            <w:pPr>
              <w:pStyle w:val="42"/>
              <w:ind w:right="-60"/>
              <w:bidi w:val="0"/>
              <w:spacing w:before="60"/>
            </w:pPr>
            <w:r>
              <w:rPr>
                <w:sz w:val="20"/>
              </w:rPr>
              <w:t>1</w:t>
            </w:r>
            <w:r>
              <w:rPr>
                <w:vertAlign w:val="superscript"/>
                <w:sz w:val="20"/>
              </w:rPr>
              <w:t>ste</w:t>
            </w:r>
            <w:r>
              <w:rPr>
                <w:sz w:val="20"/>
              </w:rPr>
              <w:t xml:space="preserve"> skatting/</w:t>
            </w:r>
          </w:p>
          <w:p>
            <w:pPr>
              <w:pStyle w:val="42"/>
              <w:ind w:right="-60"/>
              <w:bidi w:val="0"/>
              <w:spacing w:before="60"/>
            </w:pPr>
            <w:r>
              <w:rPr>
                <w:sz w:val="20"/>
              </w:rPr>
              <w:t>1</w:t>
            </w:r>
            <w:r>
              <w:rPr>
                <w:vertAlign w:val="superscript"/>
                <w:sz w:val="20"/>
              </w:rPr>
              <w:t>st</w:t>
            </w:r>
            <w:r>
              <w:rPr>
                <w:sz w:val="20"/>
              </w:rPr>
              <w:t xml:space="preserve"> forecast</w:t>
            </w:r>
          </w:p>
          <w:p>
            <w:pPr>
              <w:pStyle w:val="42"/>
              <w:ind w:right="-60"/>
              <w:bidi w:val="0"/>
              <w:spacing w:before="60"/>
            </w:pPr>
            <w:r>
              <w:rPr>
                <w:sz w:val="20"/>
              </w:rPr>
              <w:t>2008</w:t>
            </w:r>
          </w:p>
        </w:tc>
        <w:tc>
          <w:tcPr>
            <w:tcW w:w="1290" w:type="dxa"/>
            <w:shd w:val="clear" w:color="auto" w:fill="FFFFFF"/>
          </w:tcPr>
          <w:p>
            <w:pPr>
              <w:pStyle w:val="42"/>
              <w:ind w:right="-60"/>
              <w:bidi w:val="0"/>
              <w:spacing w:before="60"/>
            </w:pPr>
            <w:r>
              <w:rPr>
                <w:u w:val="none"/>
              </w:rPr>
              <w:t/>
            </w:r>
          </w:p>
          <w:p>
            <w:pPr>
              <w:pStyle w:val="42"/>
              <w:ind w:right="-75" w:hanging="120"/>
              <w:bidi w:val="0"/>
              <w:spacing w:before="60"/>
            </w:pPr>
            <w:r>
              <w:rPr>
                <w:sz w:val="20"/>
              </w:rPr>
              <w:t>Opp beplant/</w:t>
            </w:r>
          </w:p>
          <w:p>
            <w:pPr>
              <w:pStyle w:val="42"/>
              <w:ind w:right="-75" w:hanging="120"/>
              <w:bidi w:val="0"/>
              <w:spacing w:before="60"/>
            </w:pPr>
            <w:r>
              <w:rPr>
                <w:sz w:val="20"/>
              </w:rPr>
              <w:t>Area planted</w:t>
            </w:r>
          </w:p>
          <w:p>
            <w:pPr>
              <w:pStyle w:val="42"/>
              <w:ind w:right="-75" w:hanging="120"/>
              <w:bidi w:val="0"/>
              <w:spacing w:before="60"/>
            </w:pPr>
            <w:r>
              <w:rPr>
                <w:sz w:val="20"/>
              </w:rPr>
              <w:t>2007</w:t>
            </w:r>
          </w:p>
        </w:tc>
        <w:tc>
          <w:tcPr>
            <w:tcW w:w="1290" w:type="dxa"/>
            <w:shd w:val="clear" w:color="auto" w:fill="FFFFFF"/>
          </w:tcPr>
          <w:p>
            <w:pPr>
              <w:pStyle w:val="42"/>
              <w:ind w:right="-75" w:hanging="120"/>
              <w:bidi w:val="0"/>
              <w:spacing w:before="60"/>
            </w:pPr>
            <w:r>
              <w:rPr>
                <w:u w:val="none"/>
              </w:rPr>
              <w:t/>
            </w:r>
          </w:p>
          <w:p>
            <w:pPr>
              <w:pStyle w:val="42"/>
              <w:ind w:right="-60"/>
              <w:bidi w:val="0"/>
              <w:spacing w:before="60"/>
            </w:pPr>
            <w:r>
              <w:rPr>
                <w:sz w:val="20"/>
              </w:rPr>
              <w:t>Finale oes/</w:t>
            </w:r>
          </w:p>
          <w:p>
            <w:pPr>
              <w:pStyle w:val="42"/>
              <w:ind w:right="-60"/>
              <w:bidi w:val="0"/>
              <w:spacing w:before="60"/>
            </w:pPr>
            <w:r>
              <w:rPr>
                <w:sz w:val="20"/>
              </w:rPr>
              <w:t>Final crop</w:t>
            </w:r>
          </w:p>
          <w:p>
            <w:pPr>
              <w:pStyle w:val="42"/>
              <w:ind w:right="-60"/>
              <w:bidi w:val="0"/>
              <w:spacing w:before="60"/>
            </w:pPr>
            <w:r>
              <w:rPr>
                <w:sz w:val="20"/>
              </w:rPr>
              <w:t>2007</w:t>
            </w:r>
          </w:p>
        </w:tc>
        <w:tc>
          <w:tcPr>
            <w:tcW w:w="1380" w:type="dxa"/>
            <w:shd w:val="clear" w:color="auto" w:fill="FFFFFF"/>
          </w:tcPr>
          <w:p>
            <w:pPr>
              <w:pStyle w:val="42"/>
              <w:ind w:right="-60"/>
              <w:bidi w:val="0"/>
              <w:spacing w:before="60"/>
            </w:pPr>
            <w:r>
              <w:rPr>
                <w:u w:val="none"/>
              </w:rPr>
              <w:t/>
            </w:r>
          </w:p>
          <w:p>
            <w:pPr>
              <w:pStyle w:val="42"/>
              <w:ind w:right="-105"/>
              <w:bidi w:val="0"/>
              <w:spacing w:before="60"/>
            </w:pPr>
            <w:r>
              <w:rPr>
                <w:sz w:val="20"/>
              </w:rPr>
              <w:t>Verandering/</w:t>
            </w:r>
          </w:p>
          <w:p>
            <w:pPr>
              <w:pStyle w:val="42"/>
              <w:ind w:right="-105"/>
              <w:bidi w:val="0"/>
              <w:spacing w:before="60"/>
            </w:pPr>
            <w:r>
              <w:rPr>
                <w:sz w:val="20"/>
              </w:rPr>
              <w:t>Change</w:t>
            </w:r>
          </w:p>
        </w:tc>
      </w:tr>
      <w:tr>
        <w:tc>
          <w:tcPr>
            <w:tcW w:w="2420" w:type="dxa"/>
            <w:shd w:val="clear" w:color="auto" w:fill="FFFFFF"/>
          </w:tcPr>
          <w:p>
            <w:pPr>
              <w:pStyle w:val="42"/>
              <w:ind w:right="-105"/>
              <w:bidi w:val="0"/>
              <w:spacing w:before="6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20" w:after="15"/>
            </w:pPr>
            <w:r>
              <w:rPr>
                <w:sz w:val="20"/>
              </w:rPr>
              <w:t>Ha</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Ha</w:t>
            </w:r>
          </w:p>
        </w:tc>
        <w:tc>
          <w:tcPr>
            <w:tcW w:w="129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Tons</w:t>
            </w:r>
          </w:p>
        </w:tc>
        <w:tc>
          <w:tcPr>
            <w:tcW w:w="1380" w:type="dxa"/>
            <w:shd w:val="clear" w:color="auto" w:fill="FFFFFF"/>
          </w:tcPr>
          <w:p>
            <w:pPr>
              <w:pStyle w:val="42"/>
              <w:ind w:right="-60"/>
              <w:bidi w:val="0"/>
              <w:spacing w:before="120" w:after="15"/>
            </w:pPr>
            <w:r>
              <w:rPr>
                <w:u w:val="none"/>
              </w:rPr>
              <w:t/>
            </w:r>
          </w:p>
          <w:p>
            <w:pPr>
              <w:pStyle w:val="42"/>
              <w:ind w:right="-60"/>
              <w:bidi w:val="0"/>
              <w:spacing w:before="120" w:after="15"/>
            </w:pPr>
            <w:r>
              <w:rPr>
                <w:sz w:val="20"/>
              </w:rPr>
              <w:t>%</w:t>
            </w:r>
          </w:p>
        </w:tc>
      </w:tr>
      <w:tr>
        <w:tc>
          <w:tcPr>
            <w:tcW w:w="2420" w:type="dxa"/>
            <w:shd w:val="clear" w:color="auto" w:fill="FFFFFF"/>
          </w:tcPr>
          <w:p>
            <w:pPr>
              <w:pStyle w:val="42"/>
              <w:ind w:right="-60"/>
              <w:bidi w:val="0"/>
              <w:spacing w:before="120"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20"/>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(B)</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(C)</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(D)</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20"/>
              </w:rPr>
              <w:t>(E)</w:t>
            </w:r>
          </w:p>
        </w:tc>
        <w:tc>
          <w:tcPr>
            <w:tcW w:w="1380" w:type="dxa"/>
            <w:shd w:val="clear" w:color="auto" w:fill="FFFFFF"/>
          </w:tcPr>
          <w:p>
            <w:pPr>
              <w:pStyle w:val="42"/>
              <w:ind w:right="-60"/>
              <w:bidi w:val="0"/>
              <w:spacing w:before="15" w:after="15"/>
            </w:pPr>
            <w:r>
              <w:rPr>
                <w:u w:val="none"/>
              </w:rPr>
              <w:t/>
            </w:r>
          </w:p>
          <w:p>
            <w:pPr>
              <w:pStyle w:val="42"/>
              <w:ind w:right="-60"/>
              <w:bidi w:val="0"/>
              <w:spacing w:before="15" w:after="15"/>
            </w:pPr>
            <w:r>
              <w:rPr>
                <w:sz w:val="20"/>
              </w:rPr>
              <w:t>(B) ÷ (C)</w:t>
            </w:r>
          </w:p>
        </w:tc>
      </w:tr>
      <w:tr>
        <w:tc>
          <w:tcPr>
            <w:tcW w:w="10220" w:type="dxa"/>
            <w:gridSpan w:val="7"/>
            <w:shd w:val="clear" w:color="auto" w:fill="FFFFFF"/>
          </w:tcPr>
          <w:p>
            <w:pPr>
              <w:pStyle w:val="42"/>
              <w:ind w:right="-60"/>
              <w:bidi w:val="0"/>
              <w:spacing w:before="15" w:after="15"/>
            </w:pPr>
            <w:r>
              <w:rPr>
                <w:u w:val="none"/>
              </w:rPr>
              <w:t/>
            </w:r>
          </w:p>
          <w:p>
            <w:pPr>
              <w:pStyle w:val="42"/>
              <w:jc w:val="both"/>
              <w:ind w:right="-105"/>
              <w:bidi w:val="0"/>
              <w:spacing w:before="135" w:after="135"/>
            </w:pPr>
            <w:r>
              <w:rPr>
                <w:sz w:val="20"/>
              </w:rPr>
              <w:t>Kommersieël/Commercial:</w:t>
            </w:r>
          </w:p>
        </w:tc>
      </w:tr>
      <w:tr>
        <w:tc>
          <w:tcPr>
            <w:tcW w:w="2420" w:type="dxa"/>
            <w:shd w:val="clear" w:color="auto" w:fill="FFFFFF"/>
          </w:tcPr>
          <w:p>
            <w:pPr>
              <w:pStyle w:val="42"/>
              <w:jc w:val="both"/>
              <w:ind w:right="-105"/>
              <w:bidi w:val="0"/>
              <w:spacing w:before="135" w:after="135"/>
            </w:pPr>
            <w:r>
              <w:rPr>
                <w:u w:val="none"/>
              </w:rPr>
              <w:t/>
            </w:r>
          </w:p>
          <w:p>
            <w:pPr>
              <w:pStyle w:val="42"/>
              <w:jc w:val="left"/>
              <w:ind w:right="75"/>
              <w:bidi w:val="0"/>
              <w:spacing w:before="135" w:after="135"/>
            </w:pPr>
            <w:r>
              <w:rPr>
                <w:sz w:val="20"/>
              </w:rPr>
              <w:t>Koring/Wheat</w:t>
            </w:r>
          </w:p>
        </w:tc>
        <w:tc>
          <w:tcPr>
            <w:tcW w:w="1260" w:type="dxa"/>
            <w:shd w:val="clear" w:color="auto" w:fill="FFFFFF"/>
          </w:tcPr>
          <w:p>
            <w:pPr>
              <w:pStyle w:val="42"/>
              <w:jc w:val="left"/>
              <w:ind w:right="75"/>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748 000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2 186 500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90"/>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2 185 350</w:t>
            </w:r>
          </w:p>
        </w:tc>
        <w:tc>
          <w:tcPr>
            <w:tcW w:w="1290" w:type="dxa"/>
            <w:shd w:val="clear" w:color="auto" w:fill="FFFFFF"/>
          </w:tcPr>
          <w:p>
            <w:pPr>
              <w:jc w:val="right"/>
              <w:ind w:right="90"/>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632 000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1 905 000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+0,05</w:t>
            </w:r>
          </w:p>
        </w:tc>
      </w:tr>
      <w:tr>
        <w:tc>
          <w:tcPr>
            <w:tcW w:w="242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135" w:after="135"/>
            </w:pPr>
            <w:r>
              <w:rPr>
                <w:sz w:val="20"/>
              </w:rPr>
              <w:t>Moutgars/Malting barley</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65 045</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170 924</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170 924</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73 360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222 500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pPr>
            <w:r>
              <w:rPr>
                <w:rFonts w:ascii="Tahoma" w:hAnsi="Tahoma" w:cs="Tahoma" w:eastAsia="Tahoma"/>
                <w:sz w:val="20"/>
              </w:rPr>
              <w:t>-</w:t>
            </w:r>
          </w:p>
        </w:tc>
      </w:tr>
      <w:tr>
        <w:tc>
          <w:tcPr>
            <w:tcW w:w="2420" w:type="dxa"/>
            <w:shd w:val="clear" w:color="auto" w:fill="FFFFFF"/>
          </w:tcPr>
          <w:p>
            <w:pPr>
              <w:jc w:val="right"/>
              <w:ind w:right="105"/>
              <w:bidi w:val="0"/>
              <w:spacing w:before="135" w:after="135"/>
            </w:pPr>
            <w:r>
              <w:rPr>
                <w:rFonts w:ascii="Tahoma" w:hAnsi="Tahoma" w:cs="Tahoma" w:eastAsia="Tahoma"/>
              </w:rPr>
              <w:t/>
            </w:r>
          </w:p>
          <w:p>
            <w:pPr>
              <w:pStyle w:val="42"/>
              <w:jc w:val="both"/>
              <w:ind w:right="-60"/>
              <w:bidi w:val="0"/>
              <w:spacing w:before="135" w:after="135"/>
            </w:pPr>
            <w:r>
              <w:rPr>
                <w:sz w:val="20"/>
              </w:rPr>
              <w:t>Kanola/Canola</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34 000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35 000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33 200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38 150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-2,86</w:t>
            </w:r>
          </w:p>
        </w:tc>
      </w:tr>
      <w:tr>
        <w:tc>
          <w:tcPr>
            <w:tcW w:w="242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135" w:after="135"/>
            </w:pPr>
            <w:r>
              <w:rPr>
                <w:sz w:val="20"/>
              </w:rPr>
              <w:t>TOTAAL/TOTAL</w:t>
            </w:r>
          </w:p>
        </w:tc>
        <w:tc>
          <w:tcPr>
            <w:tcW w:w="1260" w:type="dxa"/>
            <w:shd w:val="clear" w:color="auto" w:fill="FFFFFF"/>
          </w:tcPr>
          <w:p>
            <w:pPr>
              <w:pStyle w:val="42"/>
              <w:jc w:val="both"/>
              <w:ind w:right="-60"/>
              <w:bidi w:val="0"/>
              <w:spacing w:before="135" w:after="135"/>
            </w:pPr>
            <w:r>
              <w:rPr>
                <w:u w:val="none"/>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847 045</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2 391 424</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2 391 274</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738 560</w:t>
            </w:r>
          </w:p>
        </w:tc>
        <w:tc>
          <w:tcPr>
            <w:tcW w:w="129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2  165 650</w:t>
            </w:r>
          </w:p>
        </w:tc>
        <w:tc>
          <w:tcPr>
            <w:tcW w:w="1380" w:type="dxa"/>
            <w:shd w:val="clear" w:color="auto" w:fill="FFFFFF"/>
          </w:tcPr>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135" w:after="13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+0,01</w:t>
            </w:r>
          </w:p>
        </w:tc>
      </w:tr>
    </w:tbl>
    <w:p>
      <w:pPr>
        <w:bidi w:val="0"/>
      </w:pPr>
      <w:r>
        <w:rPr>
          <w:rFonts w:ascii="Tahoma" w:hAnsi="Tahoma" w:cs="Tahoma" w:eastAsia="Tahoma"/>
        </w:rP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ind w:right="-60"/>
        <w:bidi w:val="0"/>
      </w:pPr>
      <w:r>
        <w:t/>
      </w:r>
    </w:p>
    <w:p>
      <w:pPr>
        <w:pStyle w:val="42"/>
        <w:jc w:val="left"/>
        <w:ind w:right="-60"/>
        <w:bidi w:val="0"/>
        <w:spacing w:after="60"/>
      </w:pPr>
      <w:r>
        <w:t/>
      </w:r>
    </w:p>
    <w:p>
      <w:pPr>
        <w:pStyle w:val="42"/>
        <w:jc w:val="left"/>
        <w:ind w:right="-60"/>
        <w:bidi w:val="0"/>
        <w:spacing w:after="60"/>
      </w:pPr>
      <w:r>
        <w:rPr>
          <w:sz w:val="20"/>
        </w:rPr>
        <w:t>KORING – HERSIENE OPPERVLAK- EN TWEEDE PRODUKSKATTING: 2008-SEISOEN</w:t>
      </w:r>
    </w:p>
    <w:p>
      <w:pPr>
        <w:pStyle w:val="42"/>
        <w:jc w:val="left"/>
        <w:ind w:right="-60"/>
        <w:bidi w:val="0"/>
      </w:pPr>
      <w:r>
        <w:rPr>
          <w:sz w:val="20"/>
        </w:rPr>
        <w:t>WHEAT – REVISED AREA PLANTED AND SECOND PRODUCTION FORECAST: 2008 SEASON</w:t>
      </w:r>
    </w:p>
    <w:p>
      <w:pPr>
        <w:pStyle w:val="42"/>
        <w:jc w:val="left"/>
        <w:ind w:right="-60"/>
        <w:bidi w:val="0"/>
      </w:pPr>
      <w:r>
        <w:t/>
      </w:r>
    </w:p>
    <w:p>
      <w:pPr>
        <w:bidi w:val="0"/>
      </w:pPr>
      <w:r>
        <w:rPr>
          <w:rFonts w:ascii="Tahoma" w:hAnsi="Tahoma" w:cs="Tahoma" w:eastAsia="Tahoma"/>
        </w:rPr>
        <w:t/>
      </w:r>
    </w:p>
    <w:tbl>
      <w:tblPr>
        <w:tblW w:w="14100" w:type="dxa"/>
        <w:tblLayout w:type="fixed"/>
        <w:tblCellMar>
          <w:top w:w="0" w:type="dxa"/>
          <w:left w:w="0" w:type="dxa"/>
          <w:bottom w:w="0" w:type="dxa"/>
          <w:right w:w="0" w:type="dxa"/>
        </w:tblCellMar>
      </w:tblPr>
      <w:tblGrid>
        <w:gridCol w:w="2895"/>
        <w:gridCol w:w="2235"/>
        <w:gridCol w:w="2235"/>
        <w:gridCol w:w="2235"/>
        <w:gridCol w:w="2235"/>
        <w:gridCol w:w="2235"/>
      </w:tblGrid>
      <w:tr>
        <w:tc>
          <w:tcPr>
            <w:tcW w:w="290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Province</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Ha</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w:t>
            </w:r>
            <w:r>
              <w:rPr>
                <w:rFonts w:ascii="Tahoma" w:hAnsi="Tahoma" w:cs="Tahoma" w:eastAsia="Tahoma"/>
                <w:vertAlign w:val="superscript"/>
                <w:sz w:val="20"/>
              </w:rPr>
              <w:t xml:space="preserve">de </w:t>
            </w:r>
            <w:r>
              <w:rPr>
                <w:rFonts w:ascii="Tahoma" w:hAnsi="Tahoma" w:cs="Tahoma" w:eastAsia="Tahoma"/>
                <w:sz w:val="20"/>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2</w:t>
            </w:r>
            <w:r>
              <w:rPr>
                <w:rFonts w:ascii="Tahoma" w:hAnsi="Tahoma" w:cs="Tahoma" w:eastAsia="Tahoma"/>
                <w:vertAlign w:val="superscript"/>
                <w:sz w:val="20"/>
              </w:rPr>
              <w:t>nd</w:t>
            </w:r>
            <w:r>
              <w:rPr>
                <w:rFonts w:ascii="Tahoma" w:hAnsi="Tahoma" w:cs="Tahoma" w:eastAsia="Tahoma"/>
                <w:sz w:val="20"/>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w:t>
            </w:r>
            <w:r>
              <w:rPr>
                <w:rFonts w:ascii="Tahoma" w:hAnsi="Tahoma" w:cs="Tahoma" w:eastAsia="Tahoma"/>
                <w:vertAlign w:val="superscript"/>
                <w:sz w:val="20"/>
              </w:rPr>
              <w:t xml:space="preserve">ste </w:t>
            </w:r>
            <w:r>
              <w:rPr>
                <w:rFonts w:ascii="Tahoma" w:hAnsi="Tahoma" w:cs="Tahoma" w:eastAsia="Tahoma"/>
                <w:sz w:val="20"/>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1</w:t>
            </w:r>
            <w:r>
              <w:rPr>
                <w:rFonts w:ascii="Tahoma" w:hAnsi="Tahoma" w:cs="Tahoma" w:eastAsia="Tahoma"/>
                <w:vertAlign w:val="superscript"/>
                <w:sz w:val="20"/>
              </w:rPr>
              <w:t>st</w:t>
            </w:r>
            <w:r>
              <w:rPr>
                <w:rFonts w:ascii="Tahoma" w:hAnsi="Tahoma" w:cs="Tahoma" w:eastAsia="Tahoma"/>
                <w:sz w:val="20"/>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c>
          <w:tcPr>
            <w:tcW w:w="22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Ha</w:t>
            </w:r>
          </w:p>
        </w:tc>
        <w:tc>
          <w:tcPr>
            <w:tcW w:w="224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Tons</w:t>
            </w:r>
          </w:p>
        </w:tc>
      </w:tr>
      <w:tr>
        <w:tc>
          <w:tcPr>
            <w:tcW w:w="29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2240" w:type="dxa"/>
            <w:shd w:val="clear" w:color="auto" w:fill="FFFFFF"/>
          </w:tcPr>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2008</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2007</w:t>
            </w:r>
          </w:p>
        </w:tc>
        <w:tc>
          <w:tcPr>
            <w:tcW w:w="2240" w:type="dxa"/>
            <w:shd w:val="clear" w:color="auto" w:fill="FFFFFF"/>
          </w:tcPr>
          <w:p>
            <w:pPr>
              <w:pStyle w:val="42"/>
              <w:ind w:right="-60"/>
              <w:bidi w:val="0"/>
              <w:spacing w:before="15"/>
            </w:pPr>
            <w:r>
              <w:rPr>
                <w:u w:val="none"/>
              </w:rPr>
              <w:t/>
            </w:r>
          </w:p>
          <w:p>
            <w:pPr>
              <w:pStyle w:val="42"/>
              <w:ind w:right="-60"/>
              <w:bidi w:val="0"/>
              <w:spacing w:before="15"/>
            </w:pPr>
            <w:r>
              <w:rPr>
                <w:sz w:val="20"/>
              </w:rPr>
              <w:t>2007</w:t>
            </w:r>
          </w:p>
        </w:tc>
      </w:tr>
      <w:tr>
        <w:tc>
          <w:tcPr>
            <w:tcW w:w="290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Wes-Kaap/Western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350 000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805 000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805 000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325 000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812 000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Noord-Kaap/Northern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50 000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264 500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Vrystaat/Free State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280 000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714 000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714 000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215 000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570 000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Oos-Kaap/Eastern Cape</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5 500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3 800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15 200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KwaZulu-Natal</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7 500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35 250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34 500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28 800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Mpumalanga</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41 600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41 200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25 000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Limpopo</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20 000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110 000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60 450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Gauteng</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12 400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12 400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1 700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11 050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20"/>
              </w:rPr>
              <w:t>Noordwes/North West</w:t>
            </w:r>
          </w:p>
        </w:tc>
        <w:tc>
          <w:tcPr>
            <w:tcW w:w="224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20"/>
              </w:rPr>
              <w:t>25 000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131 250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131 250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22 500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118 000</w:t>
            </w:r>
          </w:p>
        </w:tc>
      </w:tr>
      <w:tr>
        <w:tc>
          <w:tcPr>
            <w:tcW w:w="290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Totaal/Total</w:t>
            </w:r>
          </w:p>
        </w:tc>
        <w:tc>
          <w:tcPr>
            <w:tcW w:w="224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20"/>
              </w:rPr>
              <w:t>748 000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2 186 500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2 185 350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632 000</w:t>
            </w:r>
          </w:p>
        </w:tc>
        <w:tc>
          <w:tcPr>
            <w:tcW w:w="224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20"/>
              </w:rPr>
              <w:t>1 905 000</w:t>
            </w:r>
          </w:p>
        </w:tc>
      </w:tr>
    </w:tbl>
    <w:p>
      <w:pPr>
        <w:bidi w:val="0"/>
      </w:pPr>
      <w:r>
        <w:rPr>
          <w:rFonts w:ascii="Tahoma" w:hAnsi="Tahoma" w:cs="Tahoma" w:eastAsia="Tahoma"/>
        </w:rPr>
        <w:t/>
      </w:r>
    </w:p>
    <w:p>
      <w:r>
        <w:br w:type="page"/>
      </w:r>
    </w:p>
    <w:p>
      <w:pPr>
        <w:pStyle w:val="42"/>
        <w:bidi w:val="0"/>
      </w:pPr>
      <w:r>
        <w:rPr>
          <w:b/>
          <w:sz w:val="20"/>
        </w:rPr>
        <w:t>AREA PLANTED AND SECOND PRODUCTION FORECAST OF WINTER CEREALS/</w:t>
      </w:r>
      <w:r>
        <w:br/>
      </w:r>
      <w:r>
        <w:rPr>
          <w:b/>
          <w:sz w:val="20"/>
        </w:rPr>
        <w:t xml:space="preserve">OPPERVLAK - EN TWEEDE PRODUKSIESKATTING VIR WINTERGEWASSE  </w:t>
      </w:r>
    </w:p>
    <w:p>
      <w:pPr>
        <w:pStyle w:val="42"/>
        <w:bidi w:val="0"/>
      </w:pPr>
      <w:r>
        <w:rPr>
          <w:b/>
          <w:sz w:val="20"/>
        </w:rPr>
        <w:t>23 SEPTEMBER 2008</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755"/>
        <w:gridCol w:w="570"/>
        <w:gridCol w:w="7560"/>
      </w:tblGrid>
      <w:tr>
        <w:tc>
          <w:tcPr>
            <w:tcW w:w="7760" w:type="dxa"/>
            <w:shd w:val="clear" w:color="auto" w:fill="FFFFFF"/>
          </w:tcPr>
          <w:p>
            <w:pPr>
              <w:jc w:val="both"/>
              <w:ind w:left="255" w:right="255"/>
              <w:bidi w:val="0"/>
              <w:spacing w:after="120"/>
            </w:pPr>
            <w:r>
              <w:rPr>
                <w:rFonts w:ascii="Tahoma" w:hAnsi="Tahoma" w:cs="Tahoma" w:eastAsia="Tahoma"/>
                <w:b/>
                <w:u w:val="single"/>
                <w:sz w:val="18"/>
              </w:rPr>
              <w:t>Winter cereal crops - 2008 production season</w:t>
            </w:r>
          </w:p>
          <w:p>
            <w:pPr>
              <w:jc w:val="both"/>
              <w:ind w:left="255" w:right="255"/>
              <w:bidi w:val="0"/>
              <w:spacing w:after="120"/>
            </w:pPr>
            <w:r>
              <w:rPr>
                <w:rFonts w:ascii="Tahoma" w:hAnsi="Tahoma" w:cs="Tahoma" w:eastAsia="Tahoma"/>
                <w:b/>
                <w:u w:val="single"/>
                <w:sz w:val="18"/>
              </w:rPr>
              <w:t>Wheat:</w:t>
            </w:r>
            <w:r>
              <w:rPr>
                <w:rFonts w:ascii="Tahoma" w:hAnsi="Tahoma" w:cs="Tahoma" w:eastAsia="Tahoma"/>
                <w:sz w:val="18"/>
              </w:rPr>
              <w:t xml:space="preserve">  The production forecast for wheat is 2,187 million tons, which is 0,05% or 1  150 tons higher than the previous forecast of 2,185 million tons.  The yield is 2,92 t/ha.  The expected production remained unchanged at 805  000 tons in the Western Cape, 714  000 tons in the Free State and</w:t>
            </w:r>
            <w:r>
              <w:rPr>
                <w:rFonts w:ascii="Tahoma" w:hAnsi="Tahoma" w:cs="Tahoma" w:eastAsia="Tahoma"/>
                <w:b/>
                <w:sz w:val="18"/>
              </w:rPr>
              <w:t xml:space="preserve"> </w:t>
            </w:r>
            <w:r>
              <w:rPr>
                <w:rFonts w:ascii="Tahoma" w:hAnsi="Tahoma" w:cs="Tahoma" w:eastAsia="Tahoma"/>
                <w:sz w:val="18"/>
              </w:rPr>
              <w:t>315  000 tons in the Northern Cape.</w:t>
            </w:r>
          </w:p>
          <w:p>
            <w:pPr>
              <w:jc w:val="both"/>
              <w:ind w:left="255" w:right="255"/>
              <w:bidi w:val="0"/>
              <w:spacing w:after="120"/>
            </w:pPr>
            <w:r>
              <w:rPr>
                <w:rFonts w:ascii="Tahoma" w:hAnsi="Tahoma" w:cs="Tahoma" w:eastAsia="Tahoma"/>
                <w:sz w:val="18"/>
              </w:rPr>
              <w:t xml:space="preserve">The area planted to wheat remained unchanged at 748  000 ha.  An estimated 350  000 ha or 47% is planted in the Western Cape, 280  000 ha or 37% in the Free State and 50  000 ha or 7% in the Northern Cape. </w:t>
            </w:r>
          </w:p>
          <w:p>
            <w:pPr>
              <w:jc w:val="both"/>
              <w:ind w:left="255" w:right="255"/>
              <w:bidi w:val="0"/>
              <w:spacing w:after="120"/>
            </w:pPr>
            <w:r>
              <w:rPr>
                <w:rFonts w:ascii="Tahoma" w:hAnsi="Tahoma" w:cs="Tahoma" w:eastAsia="Tahoma"/>
                <w:sz w:val="18"/>
              </w:rPr>
              <w:t>It can be pointed out that following above-normal rainfall, the production conditions in the major wheat producing areas of the Western Cape remain favourable. However, the difficult production conditions in the southern Cape and the lack of rainfall for the inland wheat producing areas have limited the increase in the potential wheat crop for this season.</w:t>
            </w:r>
          </w:p>
          <w:p>
            <w:pPr>
              <w:jc w:val="both"/>
              <w:ind w:left="255" w:right="75"/>
              <w:bidi w:val="0"/>
              <w:spacing w:after="120"/>
            </w:pPr>
            <w:r>
              <w:rPr>
                <w:rFonts w:ascii="Tahoma" w:hAnsi="Tahoma" w:cs="Tahoma" w:eastAsia="Tahoma"/>
                <w:b/>
                <w:u w:val="single"/>
                <w:sz w:val="18"/>
              </w:rPr>
              <w:t>Other crops:</w:t>
            </w:r>
            <w:r>
              <w:rPr>
                <w:rFonts w:ascii="Tahoma" w:hAnsi="Tahoma" w:cs="Tahoma" w:eastAsia="Tahoma"/>
                <w:sz w:val="18"/>
              </w:rPr>
              <w:t xml:space="preserve"> The production forecast for malting barley remained unchanged at 170  924 ton.  The area planted also remained unchanged at 65  045 ha, while the expected yield is 2,63 t/ha.</w:t>
            </w:r>
          </w:p>
          <w:p>
            <w:pPr>
              <w:jc w:val="both"/>
              <w:ind w:left="255" w:right="75"/>
              <w:bidi w:val="0"/>
              <w:spacing w:after="120"/>
            </w:pPr>
            <w:r>
              <w:rPr>
                <w:rFonts w:ascii="Tahoma" w:hAnsi="Tahoma" w:cs="Tahoma" w:eastAsia="Tahoma"/>
                <w:sz w:val="18"/>
              </w:rPr>
              <w:t>The expected canola crop is 34  000 tons, which is 2,86% less than the 35  000 tons of the previous forecast.  The area estimate for canola was adjusted downward to 34  000 ha.  The expected yield is 1,0 t/ha.</w:t>
            </w:r>
          </w:p>
          <w:p>
            <w:pPr>
              <w:jc w:val="both"/>
              <w:ind w:left="255" w:right="75"/>
              <w:bidi w:val="0"/>
              <w:spacing w:after="240"/>
            </w:pPr>
            <w:r>
              <w:rPr>
                <w:rFonts w:ascii="Tahoma" w:hAnsi="Tahoma" w:cs="Tahoma" w:eastAsia="Tahoma"/>
                <w:sz w:val="18"/>
              </w:rPr>
              <w:t>Please note that the third production forecast for winter cereals for the 2008 production season and the ‘intentions of farmers’ to plant summer grain crops for the 2008/09 production season will be released on 23  October 2008.</w:t>
            </w:r>
          </w:p>
          <w:p>
            <w:pPr>
              <w:jc w:val="both"/>
              <w:ind w:left="255" w:right="255"/>
              <w:bidi w:val="0"/>
              <w:spacing w:after="120"/>
              <w:tabs>
                <w:tab w:val="left" w:pos="6645"/>
              </w:tabs>
            </w:pPr>
            <w:r>
              <w:rPr>
                <w:rFonts w:ascii="Tahoma" w:hAnsi="Tahoma" w:cs="Tahoma" w:eastAsia="Tahoma"/>
                <w:sz w:val="18"/>
              </w:rPr>
              <w:t xml:space="preserve">Information is available on the internet at </w:t>
            </w:r>
            <w:hyperlink r:id="hrId3">
              <w:r>
                <w:rPr>
                  <w:rFonts w:ascii="Tahoma" w:hAnsi="Tahoma" w:cs="Tahoma" w:eastAsia="Tahoma"/>
                  <w:u w:val="single"/>
                  <w:sz w:val="18"/>
                  <w:color w:val="0000FF"/>
                </w:rPr>
                <w:t>http://www.nda.agric.za/food</w:t>
              </w:r>
            </w:hyperlink>
            <w:r>
              <w:rPr>
                <w:rFonts w:ascii="Tahoma" w:hAnsi="Tahoma" w:cs="Tahoma" w:eastAsia="Tahoma"/>
                <w:u w:val="single"/>
                <w:sz w:val="18"/>
                <w:color w:val="0000FF"/>
              </w:rPr>
              <w:t xml:space="preserve"> security issues</w:t>
            </w:r>
            <w:r>
              <w:rPr>
                <w:rFonts w:ascii="Tahoma" w:hAnsi="Tahoma" w:cs="Tahoma" w:eastAsia="Tahoma"/>
                <w:sz w:val="18"/>
              </w:rPr>
              <w:t xml:space="preserve"> or</w:t>
            </w:r>
            <w:r>
              <w:rPr>
                <w:rFonts w:ascii="Tahoma" w:hAnsi="Tahoma" w:cs="Tahoma" w:eastAsia="Tahoma"/>
                <w:u w:val="single"/>
                <w:sz w:val="18"/>
                <w:color w:val="0000FF"/>
              </w:rPr>
              <w:t xml:space="preserve"> </w:t>
            </w:r>
            <w:hyperlink r:id="hrId4">
              <w:r>
                <w:rPr>
                  <w:rFonts w:ascii="Tahoma" w:hAnsi="Tahoma" w:cs="Tahoma" w:eastAsia="Tahoma"/>
                  <w:u w:val="single"/>
                  <w:sz w:val="18"/>
                  <w:color w:val="0000FF"/>
                </w:rPr>
                <w:t>http://www.sagis.org.za</w:t>
              </w:r>
            </w:hyperlink>
            <w:r>
              <w:rPr>
                <w:rFonts w:ascii="Tahoma" w:hAnsi="Tahoma" w:cs="Tahoma" w:eastAsia="Tahoma"/>
                <w:sz w:val="18"/>
              </w:rPr>
              <w:t>, as from 14:30 on the date of the relevant meeting of the Crop Estimates Committee.</w:t>
            </w:r>
          </w:p>
        </w:tc>
        <w:tc>
          <w:tcPr>
            <w:tcW w:w="570" w:type="dxa"/>
            <w:shd w:val="clear" w:color="auto" w:fill="FFFFFF"/>
          </w:tcPr>
          <w:p>
            <w:pPr>
              <w:jc w:val="both"/>
              <w:ind w:left="255" w:right="255"/>
              <w:bidi w:val="0"/>
              <w:spacing w:after="120"/>
              <w:tabs>
                <w:tab w:val="left" w:pos="6645"/>
              </w:tabs>
            </w:pPr>
            <w:r>
              <w:rPr>
                <w:rFonts w:ascii="Tahoma" w:hAnsi="Tahoma" w:cs="Tahoma" w:eastAsia="Tahoma"/>
              </w:rPr>
              <w:t/>
            </w:r>
          </w:p>
          <w:p>
            <w:pPr>
              <w:jc w:val="both"/>
              <w:ind w:left="255" w:right="255"/>
              <w:bidi w:val="0"/>
              <w:spacing w:after="120"/>
            </w:pPr>
            <w:r>
              <w:rPr>
                <w:rFonts w:ascii="Tahoma" w:hAnsi="Tahoma" w:cs="Tahoma" w:eastAsia="Tahoma"/>
              </w:rPr>
              <w:t/>
            </w:r>
          </w:p>
        </w:tc>
        <w:tc>
          <w:tcPr>
            <w:tcW w:w="7560" w:type="dxa"/>
            <w:shd w:val="clear" w:color="auto" w:fill="FFFFFF"/>
          </w:tcPr>
          <w:p>
            <w:pPr>
              <w:jc w:val="both"/>
              <w:ind w:left="255" w:right="255"/>
              <w:bidi w:val="0"/>
              <w:spacing w:after="120"/>
            </w:pPr>
            <w:r>
              <w:rPr>
                <w:rFonts w:ascii="Tahoma" w:hAnsi="Tahoma" w:cs="Tahoma" w:eastAsia="Tahoma"/>
                <w:b/>
                <w:u w:val="single"/>
                <w:sz w:val="18"/>
              </w:rPr>
              <w:t>Wintergewasse - 2008 produksie-seisoen</w:t>
            </w:r>
          </w:p>
          <w:p>
            <w:pPr>
              <w:jc w:val="both"/>
              <w:ind w:left="255" w:right="255"/>
              <w:bidi w:val="0"/>
              <w:spacing w:after="120"/>
            </w:pPr>
            <w:r>
              <w:rPr>
                <w:rFonts w:ascii="Tahoma" w:hAnsi="Tahoma" w:cs="Tahoma" w:eastAsia="Tahoma"/>
                <w:b/>
                <w:u w:val="single"/>
                <w:sz w:val="18"/>
              </w:rPr>
              <w:t>Koring:</w:t>
            </w:r>
            <w:r>
              <w:rPr>
                <w:rFonts w:ascii="Tahoma" w:hAnsi="Tahoma" w:cs="Tahoma" w:eastAsia="Tahoma"/>
                <w:sz w:val="18"/>
              </w:rPr>
              <w:t xml:space="preserve">  Die produksieskatting vir koring is 2,187 miljoen ton, wat 0,05% of 1  150 ton</w:t>
            </w:r>
            <w:r>
              <w:rPr>
                <w:rFonts w:ascii="Tahoma" w:hAnsi="Tahoma" w:cs="Tahoma" w:eastAsia="Tahoma"/>
                <w:b/>
                <w:sz w:val="18"/>
              </w:rPr>
              <w:t xml:space="preserve"> </w:t>
            </w:r>
            <w:r>
              <w:rPr>
                <w:rFonts w:ascii="Tahoma" w:hAnsi="Tahoma" w:cs="Tahoma" w:eastAsia="Tahoma"/>
                <w:sz w:val="18"/>
              </w:rPr>
              <w:t>meer is as 2,185</w:t>
            </w:r>
            <w:r>
              <w:rPr>
                <w:rFonts w:ascii="Tahoma" w:hAnsi="Tahoma" w:cs="Tahoma" w:eastAsia="Tahoma"/>
                <w:b/>
                <w:sz w:val="18"/>
              </w:rPr>
              <w:t xml:space="preserve"> </w:t>
            </w:r>
            <w:r>
              <w:rPr>
                <w:rFonts w:ascii="Tahoma" w:hAnsi="Tahoma" w:cs="Tahoma" w:eastAsia="Tahoma"/>
                <w:sz w:val="18"/>
              </w:rPr>
              <w:t>miljoen ton van die vorige skatting.  Die opbrengs is</w:t>
            </w:r>
            <w:r>
              <w:rPr>
                <w:rFonts w:ascii="Tahoma" w:hAnsi="Tahoma" w:cs="Tahoma" w:eastAsia="Tahoma"/>
                <w:b/>
                <w:sz w:val="18"/>
              </w:rPr>
              <w:t xml:space="preserve"> </w:t>
            </w:r>
            <w:r>
              <w:rPr>
                <w:rFonts w:ascii="Tahoma" w:hAnsi="Tahoma" w:cs="Tahoma" w:eastAsia="Tahoma"/>
                <w:sz w:val="18"/>
              </w:rPr>
              <w:t>2,92 t/ha.  Die verwagte produksie is onveranderd gelaat op 805  000 ton in die Wes-Kaap, 714  000 ton in die Vrystaat en 315  000 ton in die Noord-Kaap.</w:t>
            </w:r>
          </w:p>
          <w:p>
            <w:pPr>
              <w:jc w:val="both"/>
              <w:ind w:left="255" w:right="255"/>
              <w:bidi w:val="0"/>
              <w:spacing w:after="120"/>
            </w:pPr>
            <w:r>
              <w:rPr>
                <w:rFonts w:ascii="Tahoma" w:hAnsi="Tahoma" w:cs="Tahoma" w:eastAsia="Tahoma"/>
                <w:sz w:val="18"/>
              </w:rPr>
              <w:t>Die oppervlakte beplant met koring is onveranderd gelaat op 748  000 ha.  Die beraamde oppervlakte geplant in die Wes-Kaap is 350  000 ha of 47%, die Vrystaat is 280  000 ha of 37% en 50  000 ha of 7% is in die Noord-Kaap.</w:t>
            </w:r>
          </w:p>
          <w:p>
            <w:pPr>
              <w:jc w:val="both"/>
              <w:ind w:left="255" w:right="255"/>
              <w:bidi w:val="0"/>
              <w:spacing w:after="120"/>
            </w:pPr>
            <w:r>
              <w:rPr>
                <w:rFonts w:ascii="Tahoma" w:hAnsi="Tahoma" w:cs="Tahoma" w:eastAsia="Tahoma"/>
                <w:sz w:val="18"/>
              </w:rPr>
              <w:t>Dit kan uitgewys word dat as gevolg van die bogemiddelde reënval, die produksietoestande in die hoof koringproduserende gebiede van die Wes-Kaap gunstig bly te wees. Gegewe die moeilike produksietoestande in die Suid-Kaap en die gebrek aan reënval vir die binnelandse koringproduserende gebiede, is die potensiaal van ’n groter koring-oes hierdie seisoen beperk.</w:t>
            </w:r>
          </w:p>
          <w:p>
            <w:pPr>
              <w:jc w:val="both"/>
              <w:ind w:left="255" w:right="75"/>
              <w:bidi w:val="0"/>
              <w:spacing w:after="120"/>
            </w:pPr>
            <w:r>
              <w:rPr>
                <w:rFonts w:ascii="Tahoma" w:hAnsi="Tahoma" w:cs="Tahoma" w:eastAsia="Tahoma"/>
                <w:b/>
                <w:u w:val="single"/>
                <w:sz w:val="18"/>
              </w:rPr>
              <w:t>Ander gewasse</w:t>
            </w:r>
            <w:r>
              <w:rPr>
                <w:rFonts w:ascii="Tahoma" w:hAnsi="Tahoma" w:cs="Tahoma" w:eastAsia="Tahoma"/>
                <w:sz w:val="18"/>
              </w:rPr>
              <w:t>: Die produksieskatting vir moutgars is onveranderd gelaat op 170  924 ton.  Die oppervlakte beplant is ook onveranderd gelaat op 65  045 ha, met die verwagte opbrengs op 2,63 t/ha.</w:t>
            </w:r>
          </w:p>
          <w:p>
            <w:pPr>
              <w:jc w:val="both"/>
              <w:ind w:left="255" w:right="75"/>
              <w:bidi w:val="0"/>
              <w:spacing w:after="120"/>
            </w:pPr>
            <w:r>
              <w:rPr>
                <w:rFonts w:ascii="Tahoma" w:hAnsi="Tahoma" w:cs="Tahoma" w:eastAsia="Tahoma"/>
                <w:sz w:val="18"/>
              </w:rPr>
              <w:t>Die verwagte kanola-oes is 34  000 ton wat 2,86% minder is as die 35  000 ton van die vorige skatting.  Die oppervlakteskatting vir kanola is afwaarts aangepas na 34  000 ha.  Die verwagte opbrengs is 1,0 t/ha.</w:t>
            </w:r>
          </w:p>
          <w:p>
            <w:pPr>
              <w:jc w:val="both"/>
              <w:ind w:left="255" w:right="255"/>
              <w:bidi w:val="0"/>
              <w:spacing w:after="60"/>
              <w:tabs>
                <w:tab w:val="left" w:pos="6645"/>
              </w:tabs>
            </w:pPr>
            <w:r>
              <w:rPr>
                <w:rFonts w:ascii="Tahoma" w:hAnsi="Tahoma" w:cs="Tahoma" w:eastAsia="Tahoma"/>
                <w:sz w:val="18"/>
              </w:rPr>
              <w:t>Neem asseblief kennis dat die derde produksieskatting vir wintergewasse vir die 2008 produksieseisoen sowel as die “voorneme van produsente om somergraangewasse te plant’ vir die 2008/09 produksieseisoen op 23  Oktober 2008 vrygestel sal word.</w:t>
            </w:r>
          </w:p>
          <w:p>
            <w:pPr>
              <w:pStyle w:val="17"/>
              <w:jc w:val="both"/>
              <w:ind w:left="255" w:right="255"/>
              <w:bidi w:val="0"/>
              <w:tabs>
                <w:tab w:val="left" w:pos="6645"/>
              </w:tabs>
            </w:pPr>
            <w:r>
              <w:rPr>
                <w:rFonts w:ascii="Tahoma" w:hAnsi="Tahoma" w:cs="Tahoma" w:eastAsia="Tahoma"/>
                <w:sz w:val="18"/>
              </w:rPr>
              <w:t xml:space="preserve">Inligting is beskikbaar op die internet by </w:t>
            </w:r>
            <w:hyperlink r:id="hrId5">
              <w:r>
                <w:rPr>
                  <w:rFonts w:ascii="Tahoma" w:hAnsi="Tahoma" w:cs="Tahoma" w:eastAsia="Tahoma"/>
                  <w:u w:val="single"/>
                  <w:sz w:val="18"/>
                  <w:color w:val="0000FF"/>
                </w:rPr>
                <w:t>http://www.nda.agric.za/food</w:t>
              </w:r>
            </w:hyperlink>
            <w:r>
              <w:rPr>
                <w:rFonts w:ascii="Tahoma" w:hAnsi="Tahoma" w:cs="Tahoma" w:eastAsia="Tahoma"/>
                <w:u w:val="single"/>
                <w:sz w:val="18"/>
                <w:color w:val="0000FF"/>
              </w:rPr>
              <w:t xml:space="preserve"> security issues</w:t>
            </w:r>
            <w:r>
              <w:rPr>
                <w:rFonts w:ascii="Tahoma" w:hAnsi="Tahoma" w:cs="Tahoma" w:eastAsia="Tahoma"/>
                <w:sz w:val="18"/>
              </w:rPr>
              <w:t xml:space="preserve"> of by </w:t>
            </w:r>
            <w:hyperlink r:id="hrId6">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pPr>
        <w:bidi w:val="0"/>
      </w:pPr>
      <w:r>
        <w:t/>
      </w:r>
    </w:p>
    <w:p>
      <w:pPr>
        <w:pStyle w:val="42"/>
        <w:jc w:val="left"/>
        <w:ind w:right="-60"/>
        <w:bidi w:val="0"/>
      </w:pPr>
      <w:r>
        <w:t/>
      </w:r>
    </w:p>
    <w:p>
      <w:pPr>
        <w:pStyle w:val="42"/>
        <w:jc w:val="left"/>
        <w:ind w:right="-60"/>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spacing w:before="435" w:after="60"/>
    </w:pPr>
    <w:rPr>
      <w:rFonts w:ascii="Arial" w:hAnsi="Arial" w:cs="Arial" w:eastAsia="Arial"/>
      <w:b/>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spacing w:before="435" w:after="60"/>
    </w:pPr>
    <w:rPr>
      <w:rFonts w:ascii="Arial" w:hAnsi="Arial" w:cs="Arial" w:eastAsia="Arial"/>
      <w:b/>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