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theme/themeOverride10.xml" ContentType="application/vnd.openxmlformats-officedocument.themeOverride+xml"/>
  <Override PartName="/word/charts/chart27.xml" ContentType="application/vnd.openxmlformats-officedocument.drawingml.chart+xml"/>
  <Override PartName="/word/theme/themeOverride11.xml" ContentType="application/vnd.openxmlformats-officedocument.themeOverride+xml"/>
  <Override PartName="/word/charts/chart28.xml" ContentType="application/vnd.openxmlformats-officedocument.drawingml.chart+xml"/>
  <Override PartName="/word/theme/themeOverride12.xml" ContentType="application/vnd.openxmlformats-officedocument.themeOverride+xml"/>
  <Override PartName="/word/charts/chart29.xml" ContentType="application/vnd.openxmlformats-officedocument.drawingml.chart+xml"/>
  <Override PartName="/word/theme/themeOverride13.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theme/themeOverride14.xml" ContentType="application/vnd.openxmlformats-officedocument.themeOverride+xml"/>
  <Override PartName="/word/charts/chart32.xml" ContentType="application/vnd.openxmlformats-officedocument.drawingml.chart+xml"/>
  <Override PartName="/word/theme/themeOverride15.xml" ContentType="application/vnd.openxmlformats-officedocument.themeOverride+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theme/themeOverride16.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0B7" w:rsidRDefault="00B05D1B">
      <w:pPr>
        <w:rPr>
          <w:rFonts w:eastAsia="Times New Roman" w:cs="Arial"/>
          <w:color w:val="000000"/>
          <w:sz w:val="24"/>
          <w:szCs w:val="24"/>
        </w:rPr>
      </w:pPr>
      <w:r>
        <w:rPr>
          <w:rFonts w:eastAsia="Times New Roman" w:cs="Arial"/>
          <w:noProof/>
          <w:color w:val="000000"/>
          <w:sz w:val="24"/>
          <w:szCs w:val="24"/>
        </w:rPr>
        <w:drawing>
          <wp:inline distT="0" distB="0" distL="0" distR="0" wp14:anchorId="2283D1D5" wp14:editId="36159BD1">
            <wp:extent cx="5731510" cy="7950200"/>
            <wp:effectExtent l="0" t="0" r="254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rterly Economic Overview 2017 1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950200"/>
                    </a:xfrm>
                    <a:prstGeom prst="rect">
                      <a:avLst/>
                    </a:prstGeom>
                  </pic:spPr>
                </pic:pic>
              </a:graphicData>
            </a:graphic>
          </wp:inline>
        </w:drawing>
      </w:r>
      <w:r w:rsidR="00D620B7">
        <w:rPr>
          <w:rFonts w:eastAsia="Times New Roman" w:cs="Arial"/>
          <w:color w:val="000000"/>
          <w:sz w:val="24"/>
          <w:szCs w:val="24"/>
        </w:rPr>
        <w:br w:type="page"/>
      </w:r>
    </w:p>
    <w:p w:rsidR="000E4873" w:rsidRDefault="000E4873" w:rsidP="00A6420E">
      <w:pPr>
        <w:spacing w:after="0" w:line="360" w:lineRule="auto"/>
        <w:jc w:val="both"/>
        <w:rPr>
          <w:rFonts w:cs="Arial"/>
          <w:b/>
        </w:rPr>
      </w:pPr>
      <w:r>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1" locked="0" layoutInCell="1" allowOverlap="0" wp14:anchorId="4DF0805C" wp14:editId="1E792B48">
                <wp:simplePos x="0" y="0"/>
                <wp:positionH relativeFrom="column">
                  <wp:posOffset>-58616</wp:posOffset>
                </wp:positionH>
                <wp:positionV relativeFrom="paragraph">
                  <wp:posOffset>122555</wp:posOffset>
                </wp:positionV>
                <wp:extent cx="2651125" cy="342900"/>
                <wp:effectExtent l="0" t="0" r="15875" b="5715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125" cy="342900"/>
                        </a:xfrm>
                        <a:prstGeom prst="rect">
                          <a:avLst/>
                        </a:prstGeom>
                        <a:solidFill>
                          <a:srgbClr val="EAF1DD"/>
                        </a:solidFill>
                        <a:ln w="9525">
                          <a:solidFill>
                            <a:srgbClr val="94B64E"/>
                          </a:solidFill>
                          <a:miter lim="800000"/>
                          <a:headEnd/>
                          <a:tailEnd/>
                        </a:ln>
                        <a:effectLst>
                          <a:outerShdw dist="20000" dir="5400000" rotWithShape="0">
                            <a:srgbClr val="000000">
                              <a:alpha val="37999"/>
                            </a:srgbClr>
                          </a:outerShdw>
                        </a:effectLst>
                      </wps:spPr>
                      <wps:txbx>
                        <w:txbxContent>
                          <w:p w:rsidR="002E6059" w:rsidRPr="00984BFF" w:rsidRDefault="002E6059" w:rsidP="000E4873">
                            <w:pPr>
                              <w:pStyle w:val="Heading1"/>
                              <w:rPr>
                                <w:rStyle w:val="StyleAvantGardeBkBT10pt"/>
                              </w:rPr>
                            </w:pPr>
                            <w:r w:rsidRPr="00984BFF">
                              <w:rPr>
                                <w:rStyle w:val="StyleAvantGardeBkBT10pt"/>
                              </w:rPr>
                              <w:t>PREFACE</w:t>
                            </w:r>
                          </w:p>
                          <w:p w:rsidR="002E6059" w:rsidRDefault="002E6059" w:rsidP="000E4873"/>
                          <w:p w:rsidR="002E6059" w:rsidRDefault="002E6059" w:rsidP="000E4873"/>
                          <w:p w:rsidR="002E6059" w:rsidRDefault="002E6059" w:rsidP="000E4873"/>
                          <w:p w:rsidR="002E6059" w:rsidRDefault="002E6059" w:rsidP="000E4873"/>
                          <w:p w:rsidR="002E6059" w:rsidRPr="00D25492" w:rsidRDefault="002E6059" w:rsidP="000E48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left:0;text-align:left;margin-left:-4.6pt;margin-top:9.65pt;width:208.75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" o:allowoverlap="f" fillcolor="#eaf1dd" strokecolor="#94b64e">
                <v:shadow on="t" color="black" opacity="24903f" origin=",.5" offset="0,.55556mm"/>
                <v:textbox>
                  <w:txbxContent>
                    <w:p w:rsidR="002E6059" w:rsidRPr="00984BFF" w:rsidRDefault="002E6059" w:rsidP="000E4873">
                      <w:pPr>
                        <w:pStyle w:val="Heading1"/>
                        <w:rPr>
                          <w:rStyle w:val="StyleAvantGardeBkBT10pt"/>
                        </w:rPr>
                      </w:pPr>
                      <w:r w:rsidRPr="00984BFF">
                        <w:rPr>
                          <w:rStyle w:val="StyleAvantGardeBkBT10pt"/>
                        </w:rPr>
                        <w:t>PREFACE</w:t>
                      </w:r>
                    </w:p>
                    <w:p w:rsidR="002E6059" w:rsidRDefault="002E6059" w:rsidP="000E4873"/>
                    <w:p w:rsidR="002E6059" w:rsidRDefault="002E6059" w:rsidP="000E4873"/>
                    <w:p w:rsidR="002E6059" w:rsidRDefault="002E6059" w:rsidP="000E4873"/>
                    <w:p w:rsidR="002E6059" w:rsidRDefault="002E6059" w:rsidP="000E4873"/>
                    <w:p w:rsidR="002E6059" w:rsidRPr="00D25492" w:rsidRDefault="002E6059" w:rsidP="000E4873"/>
                  </w:txbxContent>
                </v:textbox>
              </v:rect>
            </w:pict>
          </mc:Fallback>
        </mc:AlternateContent>
      </w:r>
    </w:p>
    <w:p w:rsidR="000E4873" w:rsidRDefault="000E4873" w:rsidP="00A6420E">
      <w:pPr>
        <w:spacing w:after="0" w:line="360" w:lineRule="auto"/>
        <w:jc w:val="both"/>
        <w:rPr>
          <w:rFonts w:cs="Arial"/>
          <w:b/>
        </w:rPr>
      </w:pPr>
    </w:p>
    <w:p w:rsidR="000E4873" w:rsidRDefault="000E4873" w:rsidP="00A6420E">
      <w:pPr>
        <w:spacing w:after="0" w:line="360" w:lineRule="auto"/>
        <w:jc w:val="both"/>
        <w:rPr>
          <w:rFonts w:cs="Arial"/>
          <w:b/>
        </w:rPr>
      </w:pPr>
    </w:p>
    <w:p w:rsidR="000E4873" w:rsidRPr="009F08C4" w:rsidRDefault="000E4873" w:rsidP="000E4873">
      <w:pPr>
        <w:spacing w:after="0" w:line="312" w:lineRule="auto"/>
        <w:jc w:val="both"/>
        <w:rPr>
          <w:rFonts w:eastAsia="Times New Roman" w:cs="Arial"/>
          <w:sz w:val="24"/>
          <w:szCs w:val="24"/>
          <w:lang w:val="en-GB"/>
        </w:rPr>
      </w:pPr>
      <w:r w:rsidRPr="009F08C4">
        <w:rPr>
          <w:rFonts w:eastAsia="Times New Roman" w:cs="Arial"/>
          <w:sz w:val="24"/>
          <w:szCs w:val="24"/>
          <w:lang w:val="en-GB"/>
        </w:rPr>
        <w:t xml:space="preserve">The core business of the Directorate: Statistics and Economic Analysis is to provide economic and statistical services to monitor the economic performance of the agriculture, forestry and fisheries (AFF) sector. To support this important task, the Economic and Statistical Research Unit conducts economic analyses of the performance of the AFF sector, as well as the external impact on the AFF sector and its industries. </w:t>
      </w:r>
    </w:p>
    <w:p w:rsidR="000E4873" w:rsidRPr="009F08C4" w:rsidRDefault="000E4873" w:rsidP="000E4873">
      <w:pPr>
        <w:spacing w:after="0" w:line="312" w:lineRule="auto"/>
        <w:jc w:val="both"/>
        <w:rPr>
          <w:rFonts w:eastAsia="Times New Roman" w:cs="Arial"/>
          <w:sz w:val="24"/>
          <w:szCs w:val="24"/>
          <w:lang w:val="en-GB"/>
        </w:rPr>
      </w:pPr>
    </w:p>
    <w:p w:rsidR="000E4873" w:rsidRPr="009F08C4" w:rsidRDefault="000E4873" w:rsidP="000E4873">
      <w:pPr>
        <w:spacing w:after="0" w:line="312" w:lineRule="auto"/>
        <w:jc w:val="both"/>
        <w:rPr>
          <w:rFonts w:eastAsia="Times New Roman" w:cs="Arial"/>
          <w:sz w:val="24"/>
          <w:szCs w:val="24"/>
          <w:lang w:val="en-GB"/>
        </w:rPr>
      </w:pPr>
      <w:r w:rsidRPr="009F08C4">
        <w:rPr>
          <w:rFonts w:eastAsia="Times New Roman" w:cs="Arial"/>
          <w:sz w:val="24"/>
          <w:szCs w:val="24"/>
          <w:lang w:val="en-GB"/>
        </w:rPr>
        <w:t xml:space="preserve">This publication, the </w:t>
      </w:r>
      <w:r w:rsidRPr="009F08C4">
        <w:rPr>
          <w:rFonts w:eastAsia="Times New Roman" w:cs="Arial"/>
          <w:i/>
          <w:sz w:val="24"/>
          <w:szCs w:val="24"/>
          <w:lang w:val="en-GB"/>
        </w:rPr>
        <w:t xml:space="preserve">Quarterly </w:t>
      </w:r>
      <w:r>
        <w:rPr>
          <w:rFonts w:eastAsia="Times New Roman" w:cs="Arial"/>
          <w:i/>
          <w:sz w:val="24"/>
          <w:szCs w:val="24"/>
          <w:lang w:val="en-GB"/>
        </w:rPr>
        <w:t>E</w:t>
      </w:r>
      <w:r w:rsidRPr="009F08C4">
        <w:rPr>
          <w:rFonts w:eastAsia="Times New Roman" w:cs="Arial"/>
          <w:i/>
          <w:sz w:val="24"/>
          <w:szCs w:val="24"/>
          <w:lang w:val="en-GB"/>
        </w:rPr>
        <w:t xml:space="preserve">conomic </w:t>
      </w:r>
      <w:r>
        <w:rPr>
          <w:rFonts w:eastAsia="Times New Roman" w:cs="Arial"/>
          <w:i/>
          <w:sz w:val="24"/>
          <w:szCs w:val="24"/>
          <w:lang w:val="en-GB"/>
        </w:rPr>
        <w:t>O</w:t>
      </w:r>
      <w:r w:rsidRPr="009F08C4">
        <w:rPr>
          <w:rFonts w:eastAsia="Times New Roman" w:cs="Arial"/>
          <w:i/>
          <w:sz w:val="24"/>
          <w:szCs w:val="24"/>
          <w:lang w:val="en-GB"/>
        </w:rPr>
        <w:t xml:space="preserve">verview of the </w:t>
      </w:r>
      <w:r>
        <w:rPr>
          <w:rFonts w:eastAsia="Times New Roman" w:cs="Arial"/>
          <w:i/>
          <w:sz w:val="24"/>
          <w:szCs w:val="24"/>
          <w:lang w:val="en-GB"/>
        </w:rPr>
        <w:t>A</w:t>
      </w:r>
      <w:r w:rsidRPr="009F08C4">
        <w:rPr>
          <w:rFonts w:eastAsia="Times New Roman" w:cs="Arial"/>
          <w:i/>
          <w:sz w:val="24"/>
          <w:szCs w:val="24"/>
          <w:lang w:val="en-GB"/>
        </w:rPr>
        <w:t xml:space="preserve">griculture, </w:t>
      </w:r>
      <w:r>
        <w:rPr>
          <w:rFonts w:eastAsia="Times New Roman" w:cs="Arial"/>
          <w:i/>
          <w:sz w:val="24"/>
          <w:szCs w:val="24"/>
          <w:lang w:val="en-GB"/>
        </w:rPr>
        <w:t>F</w:t>
      </w:r>
      <w:r w:rsidRPr="009F08C4">
        <w:rPr>
          <w:rFonts w:eastAsia="Times New Roman" w:cs="Arial"/>
          <w:i/>
          <w:sz w:val="24"/>
          <w:szCs w:val="24"/>
          <w:lang w:val="en-GB"/>
        </w:rPr>
        <w:t xml:space="preserve">orestry and </w:t>
      </w:r>
      <w:r>
        <w:rPr>
          <w:rFonts w:eastAsia="Times New Roman" w:cs="Arial"/>
          <w:i/>
          <w:sz w:val="24"/>
          <w:szCs w:val="24"/>
          <w:lang w:val="en-GB"/>
        </w:rPr>
        <w:t>F</w:t>
      </w:r>
      <w:r w:rsidRPr="009F08C4">
        <w:rPr>
          <w:rFonts w:eastAsia="Times New Roman" w:cs="Arial"/>
          <w:i/>
          <w:sz w:val="24"/>
          <w:szCs w:val="24"/>
          <w:lang w:val="en-GB"/>
        </w:rPr>
        <w:t xml:space="preserve">isheries </w:t>
      </w:r>
      <w:r>
        <w:rPr>
          <w:rFonts w:eastAsia="Times New Roman" w:cs="Arial"/>
          <w:i/>
          <w:sz w:val="24"/>
          <w:szCs w:val="24"/>
          <w:lang w:val="en-GB"/>
        </w:rPr>
        <w:t>S</w:t>
      </w:r>
      <w:r w:rsidRPr="009F08C4">
        <w:rPr>
          <w:rFonts w:eastAsia="Times New Roman" w:cs="Arial"/>
          <w:i/>
          <w:sz w:val="24"/>
          <w:szCs w:val="24"/>
          <w:lang w:val="en-GB"/>
        </w:rPr>
        <w:t>ector</w:t>
      </w:r>
      <w:r w:rsidRPr="009F08C4">
        <w:rPr>
          <w:rFonts w:eastAsia="Times New Roman" w:cs="Arial"/>
          <w:sz w:val="24"/>
          <w:szCs w:val="24"/>
          <w:lang w:val="en-GB"/>
        </w:rPr>
        <w:t xml:space="preserve">, was developed because of a need within the Department of Agriculture, Forestry and Fisheries (DAFF) to be regularly informed on developments and expected economic trends in the agricultural sector. The quarterly report has been established as a regular feature in the directorate’s </w:t>
      </w:r>
      <w:proofErr w:type="spellStart"/>
      <w:r w:rsidRPr="009F08C4">
        <w:rPr>
          <w:rFonts w:eastAsia="Times New Roman" w:cs="Arial"/>
          <w:sz w:val="24"/>
          <w:szCs w:val="24"/>
          <w:lang w:val="en-GB"/>
        </w:rPr>
        <w:t>workplan</w:t>
      </w:r>
      <w:proofErr w:type="spellEnd"/>
      <w:r w:rsidRPr="009F08C4">
        <w:rPr>
          <w:rFonts w:eastAsia="Times New Roman" w:cs="Arial"/>
          <w:sz w:val="24"/>
          <w:szCs w:val="24"/>
          <w:lang w:val="en-GB"/>
        </w:rPr>
        <w:t xml:space="preserve">. Since the beginning of 2004, the report has also been published for outside use to add value to a number of regular economic publications </w:t>
      </w:r>
      <w:r>
        <w:rPr>
          <w:rFonts w:eastAsia="Times New Roman" w:cs="Arial"/>
          <w:sz w:val="24"/>
          <w:szCs w:val="24"/>
          <w:lang w:val="en-GB"/>
        </w:rPr>
        <w:t>about</w:t>
      </w:r>
      <w:r w:rsidRPr="009F08C4">
        <w:rPr>
          <w:rFonts w:eastAsia="Times New Roman" w:cs="Arial"/>
          <w:sz w:val="24"/>
          <w:szCs w:val="24"/>
          <w:lang w:val="en-GB"/>
        </w:rPr>
        <w:t xml:space="preserve"> the agricultural sector. It is our vision to maintain it as </w:t>
      </w:r>
      <w:r>
        <w:rPr>
          <w:rFonts w:eastAsia="Times New Roman" w:cs="Arial"/>
          <w:sz w:val="24"/>
          <w:szCs w:val="24"/>
          <w:lang w:val="en-GB"/>
        </w:rPr>
        <w:t xml:space="preserve">an </w:t>
      </w:r>
      <w:r w:rsidRPr="009F08C4">
        <w:rPr>
          <w:rFonts w:eastAsia="Times New Roman" w:cs="Arial"/>
          <w:sz w:val="24"/>
          <w:szCs w:val="24"/>
          <w:lang w:val="en-GB"/>
        </w:rPr>
        <w:t xml:space="preserve">indispensable reading for everyone interested in developments in the AFF and the South African AFF sector. </w:t>
      </w:r>
    </w:p>
    <w:p w:rsidR="000E4873" w:rsidRPr="009F08C4" w:rsidRDefault="000E4873" w:rsidP="000E4873">
      <w:pPr>
        <w:spacing w:after="0" w:line="312" w:lineRule="auto"/>
        <w:jc w:val="both"/>
        <w:rPr>
          <w:rFonts w:eastAsia="Times New Roman" w:cs="Arial"/>
          <w:sz w:val="24"/>
          <w:szCs w:val="24"/>
          <w:lang w:val="en-GB"/>
        </w:rPr>
      </w:pPr>
    </w:p>
    <w:p w:rsidR="000E4873" w:rsidRPr="009F08C4" w:rsidRDefault="000E4873" w:rsidP="000E4873">
      <w:pPr>
        <w:spacing w:after="0" w:line="312" w:lineRule="auto"/>
        <w:jc w:val="both"/>
        <w:rPr>
          <w:rFonts w:eastAsia="Times New Roman" w:cs="Arial"/>
          <w:sz w:val="24"/>
          <w:szCs w:val="24"/>
          <w:lang w:val="en-GB"/>
        </w:rPr>
      </w:pPr>
      <w:r w:rsidRPr="009F08C4">
        <w:rPr>
          <w:rFonts w:eastAsia="Times New Roman" w:cs="Arial"/>
          <w:sz w:val="24"/>
          <w:szCs w:val="24"/>
          <w:lang w:val="en-GB"/>
        </w:rPr>
        <w:t>This issue looks at the economic developments in the f</w:t>
      </w:r>
      <w:r w:rsidR="006329E6">
        <w:rPr>
          <w:rFonts w:eastAsia="Times New Roman" w:cs="Arial"/>
          <w:sz w:val="24"/>
          <w:szCs w:val="24"/>
          <w:lang w:val="en-GB"/>
        </w:rPr>
        <w:t>irst</w:t>
      </w:r>
      <w:r w:rsidRPr="009F08C4">
        <w:rPr>
          <w:rFonts w:eastAsia="Times New Roman" w:cs="Arial"/>
          <w:sz w:val="24"/>
          <w:szCs w:val="24"/>
          <w:lang w:val="en-GB"/>
        </w:rPr>
        <w:t xml:space="preserve"> </w:t>
      </w:r>
      <w:r w:rsidR="0064309F">
        <w:rPr>
          <w:rFonts w:eastAsia="Times New Roman" w:cs="Arial"/>
          <w:sz w:val="24"/>
          <w:szCs w:val="24"/>
          <w:lang w:val="en-GB"/>
        </w:rPr>
        <w:t xml:space="preserve">quarter </w:t>
      </w:r>
      <w:r w:rsidRPr="009F08C4">
        <w:rPr>
          <w:rFonts w:eastAsia="Times New Roman" w:cs="Arial"/>
          <w:sz w:val="24"/>
          <w:szCs w:val="24"/>
          <w:lang w:val="en-GB"/>
        </w:rPr>
        <w:t>of 201</w:t>
      </w:r>
      <w:r w:rsidR="006329E6">
        <w:rPr>
          <w:rFonts w:eastAsia="Times New Roman" w:cs="Arial"/>
          <w:sz w:val="24"/>
          <w:szCs w:val="24"/>
          <w:lang w:val="en-GB"/>
        </w:rPr>
        <w:t>7</w:t>
      </w:r>
      <w:r w:rsidRPr="009F08C4">
        <w:rPr>
          <w:rFonts w:eastAsia="Times New Roman" w:cs="Arial"/>
          <w:sz w:val="24"/>
          <w:szCs w:val="24"/>
          <w:lang w:val="en-GB"/>
        </w:rPr>
        <w:t xml:space="preserve">, as well as the expected economic trends in the South African AFF sector as the domestic and global economies continue to face economic uncertainties. </w:t>
      </w:r>
    </w:p>
    <w:p w:rsidR="000E4873" w:rsidRPr="009F08C4" w:rsidRDefault="000E4873" w:rsidP="000E4873">
      <w:pPr>
        <w:spacing w:after="0" w:line="360" w:lineRule="auto"/>
        <w:jc w:val="both"/>
        <w:rPr>
          <w:rFonts w:eastAsia="Times New Roman" w:cs="Arial"/>
          <w:lang w:val="en-GB"/>
        </w:rPr>
      </w:pPr>
      <w:r>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97E252D" wp14:editId="6764F5C7">
                <wp:simplePos x="0" y="0"/>
                <wp:positionH relativeFrom="column">
                  <wp:posOffset>-4445</wp:posOffset>
                </wp:positionH>
                <wp:positionV relativeFrom="paragraph">
                  <wp:posOffset>76835</wp:posOffset>
                </wp:positionV>
                <wp:extent cx="5262245" cy="2146935"/>
                <wp:effectExtent l="0" t="0" r="14605" b="2476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245" cy="2146935"/>
                        </a:xfrm>
                        <a:prstGeom prst="rect">
                          <a:avLst/>
                        </a:prstGeom>
                        <a:solidFill>
                          <a:srgbClr val="FFFFFF"/>
                        </a:solidFill>
                        <a:ln w="9525">
                          <a:solidFill>
                            <a:srgbClr val="000000"/>
                          </a:solidFill>
                          <a:miter lim="800000"/>
                          <a:headEnd/>
                          <a:tailEnd/>
                        </a:ln>
                      </wps:spPr>
                      <wps:txbx>
                        <w:txbxContent>
                          <w:p w:rsidR="002E6059" w:rsidRPr="006329E6" w:rsidRDefault="002E6059" w:rsidP="006329E6">
                            <w:pPr>
                              <w:spacing w:line="240" w:lineRule="auto"/>
                              <w:jc w:val="both"/>
                              <w:rPr>
                                <w:rFonts w:cs="Arial"/>
                                <w:sz w:val="14"/>
                                <w:szCs w:val="14"/>
                              </w:rPr>
                            </w:pPr>
                            <w:r w:rsidRPr="006329E6">
                              <w:rPr>
                                <w:rFonts w:cs="Arial"/>
                                <w:sz w:val="14"/>
                                <w:szCs w:val="14"/>
                              </w:rPr>
                              <w:t>Compiled by Heidi Phahlane with inputs from:</w:t>
                            </w:r>
                          </w:p>
                          <w:p w:rsidR="002E6059" w:rsidRPr="006329E6" w:rsidRDefault="002E6059" w:rsidP="006329E6">
                            <w:pPr>
                              <w:spacing w:line="240" w:lineRule="auto"/>
                              <w:jc w:val="both"/>
                              <w:rPr>
                                <w:rFonts w:cs="Arial"/>
                                <w:sz w:val="14"/>
                                <w:szCs w:val="14"/>
                              </w:rPr>
                            </w:pPr>
                            <w:proofErr w:type="spellStart"/>
                            <w:r w:rsidRPr="006329E6">
                              <w:rPr>
                                <w:rFonts w:cs="Arial"/>
                                <w:sz w:val="14"/>
                                <w:szCs w:val="14"/>
                              </w:rPr>
                              <w:t>Mthembeka</w:t>
                            </w:r>
                            <w:proofErr w:type="spellEnd"/>
                            <w:r w:rsidRPr="006329E6">
                              <w:rPr>
                                <w:rFonts w:cs="Arial"/>
                                <w:sz w:val="14"/>
                                <w:szCs w:val="14"/>
                              </w:rPr>
                              <w:t xml:space="preserve"> Z.A., </w:t>
                            </w:r>
                            <w:proofErr w:type="spellStart"/>
                            <w:r w:rsidRPr="006329E6">
                              <w:rPr>
                                <w:rFonts w:cs="Arial"/>
                                <w:sz w:val="14"/>
                                <w:szCs w:val="14"/>
                              </w:rPr>
                              <w:t>Lekganyane</w:t>
                            </w:r>
                            <w:proofErr w:type="spellEnd"/>
                            <w:r w:rsidRPr="006329E6">
                              <w:rPr>
                                <w:rFonts w:cs="Arial"/>
                                <w:sz w:val="14"/>
                                <w:szCs w:val="14"/>
                              </w:rPr>
                              <w:t xml:space="preserve"> M.S., Mofolo K.M.,</w:t>
                            </w:r>
                            <w:proofErr w:type="spellStart"/>
                            <w:r w:rsidRPr="006329E6">
                              <w:rPr>
                                <w:rFonts w:cs="Arial"/>
                                <w:sz w:val="14"/>
                                <w:szCs w:val="14"/>
                              </w:rPr>
                              <w:t>Gininda</w:t>
                            </w:r>
                            <w:proofErr w:type="spellEnd"/>
                            <w:r w:rsidRPr="006329E6">
                              <w:rPr>
                                <w:rFonts w:cs="Arial"/>
                                <w:sz w:val="14"/>
                                <w:szCs w:val="14"/>
                              </w:rPr>
                              <w:t xml:space="preserve"> P.</w:t>
                            </w:r>
                            <w:r>
                              <w:rPr>
                                <w:rFonts w:cs="Arial"/>
                                <w:sz w:val="14"/>
                                <w:szCs w:val="14"/>
                              </w:rPr>
                              <w:t xml:space="preserve">, </w:t>
                            </w:r>
                            <w:proofErr w:type="spellStart"/>
                            <w:r>
                              <w:rPr>
                                <w:rFonts w:cs="Arial"/>
                                <w:sz w:val="14"/>
                                <w:szCs w:val="14"/>
                              </w:rPr>
                              <w:t>Ramonyai</w:t>
                            </w:r>
                            <w:proofErr w:type="spellEnd"/>
                            <w:r>
                              <w:rPr>
                                <w:rFonts w:cs="Arial"/>
                                <w:sz w:val="14"/>
                                <w:szCs w:val="14"/>
                              </w:rPr>
                              <w:t xml:space="preserve"> D., Peter-</w:t>
                            </w:r>
                            <w:proofErr w:type="spellStart"/>
                            <w:r>
                              <w:rPr>
                                <w:rFonts w:cs="Arial"/>
                                <w:sz w:val="14"/>
                                <w:szCs w:val="14"/>
                              </w:rPr>
                              <w:t>Dukuza</w:t>
                            </w:r>
                            <w:proofErr w:type="spellEnd"/>
                            <w:r>
                              <w:rPr>
                                <w:rFonts w:cs="Arial"/>
                                <w:sz w:val="14"/>
                                <w:szCs w:val="14"/>
                              </w:rPr>
                              <w:t xml:space="preserve"> F.,</w:t>
                            </w:r>
                            <w:r w:rsidRPr="006329E6">
                              <w:rPr>
                                <w:rFonts w:cs="Arial"/>
                                <w:sz w:val="14"/>
                                <w:szCs w:val="14"/>
                              </w:rPr>
                              <w:t xml:space="preserve"> </w:t>
                            </w:r>
                            <w:proofErr w:type="spellStart"/>
                            <w:r w:rsidRPr="006329E6">
                              <w:rPr>
                                <w:rFonts w:cs="Arial"/>
                                <w:sz w:val="14"/>
                                <w:szCs w:val="14"/>
                              </w:rPr>
                              <w:t>Lubbe</w:t>
                            </w:r>
                            <w:proofErr w:type="spellEnd"/>
                            <w:r w:rsidRPr="006329E6">
                              <w:rPr>
                                <w:rFonts w:cs="Arial"/>
                                <w:sz w:val="14"/>
                                <w:szCs w:val="14"/>
                              </w:rPr>
                              <w:t xml:space="preserve"> P, Jafta A. and Mathlo I.M.</w:t>
                            </w:r>
                          </w:p>
                          <w:p w:rsidR="002E6059" w:rsidRDefault="002E6059" w:rsidP="006329E6">
                            <w:pPr>
                              <w:spacing w:line="240" w:lineRule="auto"/>
                              <w:jc w:val="both"/>
                              <w:rPr>
                                <w:rFonts w:cs="Arial"/>
                                <w:sz w:val="14"/>
                                <w:szCs w:val="14"/>
                              </w:rPr>
                            </w:pPr>
                            <w:r w:rsidRPr="006329E6">
                              <w:rPr>
                                <w:rFonts w:cs="Arial"/>
                                <w:sz w:val="14"/>
                                <w:szCs w:val="14"/>
                              </w:rPr>
                              <w:t>All correspondence can be addressed to:</w:t>
                            </w:r>
                          </w:p>
                          <w:p w:rsidR="002E6059" w:rsidRPr="006329E6" w:rsidRDefault="002E6059" w:rsidP="006329E6">
                            <w:pPr>
                              <w:spacing w:line="240" w:lineRule="auto"/>
                              <w:jc w:val="both"/>
                              <w:rPr>
                                <w:rFonts w:cs="Arial"/>
                                <w:sz w:val="14"/>
                                <w:szCs w:val="14"/>
                              </w:rPr>
                            </w:pPr>
                            <w:r w:rsidRPr="006329E6">
                              <w:rPr>
                                <w:rFonts w:cs="Arial"/>
                                <w:sz w:val="14"/>
                                <w:szCs w:val="14"/>
                              </w:rPr>
                              <w:t>The Director: Ms Ellen Matsei</w:t>
                            </w:r>
                          </w:p>
                          <w:p w:rsidR="002E6059" w:rsidRPr="006329E6" w:rsidRDefault="002E6059" w:rsidP="006329E6">
                            <w:pPr>
                              <w:spacing w:line="240" w:lineRule="auto"/>
                              <w:jc w:val="both"/>
                              <w:rPr>
                                <w:rFonts w:cs="Arial"/>
                                <w:sz w:val="14"/>
                                <w:szCs w:val="14"/>
                              </w:rPr>
                            </w:pPr>
                            <w:r w:rsidRPr="006329E6">
                              <w:rPr>
                                <w:rFonts w:cs="Arial"/>
                                <w:sz w:val="14"/>
                                <w:szCs w:val="14"/>
                              </w:rPr>
                              <w:t>Directorate: Statistics and Economic Analysis</w:t>
                            </w:r>
                          </w:p>
                          <w:p w:rsidR="002E6059" w:rsidRPr="006329E6" w:rsidRDefault="002E6059" w:rsidP="006329E6">
                            <w:pPr>
                              <w:spacing w:line="240" w:lineRule="auto"/>
                              <w:jc w:val="both"/>
                              <w:rPr>
                                <w:rFonts w:cs="Arial"/>
                                <w:sz w:val="14"/>
                                <w:szCs w:val="14"/>
                              </w:rPr>
                            </w:pPr>
                            <w:r w:rsidRPr="006329E6">
                              <w:rPr>
                                <w:rFonts w:cs="Arial"/>
                                <w:sz w:val="14"/>
                                <w:szCs w:val="14"/>
                              </w:rPr>
                              <w:t>4</w:t>
                            </w:r>
                            <w:r w:rsidRPr="006329E6">
                              <w:rPr>
                                <w:rFonts w:cs="Arial"/>
                                <w:sz w:val="14"/>
                                <w:szCs w:val="14"/>
                                <w:vertAlign w:val="superscript"/>
                              </w:rPr>
                              <w:t>th</w:t>
                            </w:r>
                            <w:r w:rsidRPr="006329E6">
                              <w:rPr>
                                <w:rFonts w:cs="Arial"/>
                                <w:sz w:val="14"/>
                                <w:szCs w:val="14"/>
                              </w:rPr>
                              <w:t xml:space="preserve"> Floor, </w:t>
                            </w:r>
                            <w:proofErr w:type="spellStart"/>
                            <w:r w:rsidRPr="006329E6">
                              <w:rPr>
                                <w:rFonts w:cs="Arial"/>
                                <w:sz w:val="14"/>
                                <w:szCs w:val="14"/>
                              </w:rPr>
                              <w:t>Sefala</w:t>
                            </w:r>
                            <w:proofErr w:type="spellEnd"/>
                            <w:r w:rsidRPr="006329E6">
                              <w:rPr>
                                <w:rFonts w:cs="Arial"/>
                                <w:sz w:val="14"/>
                                <w:szCs w:val="14"/>
                              </w:rPr>
                              <w:t xml:space="preserve"> Building</w:t>
                            </w:r>
                          </w:p>
                          <w:p w:rsidR="002E6059" w:rsidRPr="006329E6" w:rsidRDefault="002E6059" w:rsidP="006329E6">
                            <w:pPr>
                              <w:spacing w:line="240" w:lineRule="auto"/>
                              <w:jc w:val="both"/>
                              <w:rPr>
                                <w:rFonts w:cs="Arial"/>
                                <w:sz w:val="14"/>
                                <w:szCs w:val="14"/>
                              </w:rPr>
                            </w:pPr>
                            <w:r w:rsidRPr="006329E6">
                              <w:rPr>
                                <w:rFonts w:cs="Arial"/>
                                <w:sz w:val="14"/>
                                <w:szCs w:val="14"/>
                              </w:rPr>
                              <w:t>503 Belvedere Street, Arcadia, South Africa</w:t>
                            </w:r>
                          </w:p>
                          <w:p w:rsidR="002E6059" w:rsidRPr="006329E6" w:rsidRDefault="002E6059" w:rsidP="006329E6">
                            <w:pPr>
                              <w:spacing w:line="240" w:lineRule="auto"/>
                              <w:jc w:val="both"/>
                              <w:rPr>
                                <w:rFonts w:cs="Arial"/>
                                <w:sz w:val="14"/>
                                <w:szCs w:val="14"/>
                              </w:rPr>
                            </w:pPr>
                            <w:r w:rsidRPr="006329E6">
                              <w:rPr>
                                <w:rFonts w:cs="Arial"/>
                                <w:sz w:val="14"/>
                                <w:szCs w:val="14"/>
                              </w:rPr>
                              <w:t>Tel.: +27(12) 319 8454</w:t>
                            </w:r>
                          </w:p>
                          <w:p w:rsidR="002E6059" w:rsidRPr="006329E6" w:rsidRDefault="002E6059" w:rsidP="000E4873">
                            <w:pPr>
                              <w:jc w:val="both"/>
                              <w:rPr>
                                <w:rFonts w:cs="Arial"/>
                                <w:sz w:val="14"/>
                                <w:szCs w:val="14"/>
                              </w:rPr>
                            </w:pPr>
                            <w:r w:rsidRPr="006329E6">
                              <w:rPr>
                                <w:rFonts w:cs="Arial"/>
                                <w:sz w:val="14"/>
                                <w:szCs w:val="14"/>
                              </w:rPr>
                              <w:t>E-mail:DAS@daff.gov.za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27" type="#_x0000_t202" style="position:absolute;left:0;text-align:left;margin-left:-.35pt;margin-top:6.05pt;width:414.35pt;height:16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">
                <v:textbox>
                  <w:txbxContent>
                    <w:p w:rsidR="002E6059" w:rsidRPr="006329E6" w:rsidRDefault="002E6059" w:rsidP="006329E6">
                      <w:pPr>
                        <w:spacing w:line="240" w:lineRule="auto"/>
                        <w:jc w:val="both"/>
                        <w:rPr>
                          <w:rFonts w:cs="Arial"/>
                          <w:sz w:val="14"/>
                          <w:szCs w:val="14"/>
                        </w:rPr>
                      </w:pPr>
                      <w:r w:rsidRPr="006329E6">
                        <w:rPr>
                          <w:rFonts w:cs="Arial"/>
                          <w:sz w:val="14"/>
                          <w:szCs w:val="14"/>
                        </w:rPr>
                        <w:t>Compiled by Heidi Phahlane with inputs from:</w:t>
                      </w:r>
                    </w:p>
                    <w:p w:rsidR="002E6059" w:rsidRPr="006329E6" w:rsidRDefault="002E6059" w:rsidP="006329E6">
                      <w:pPr>
                        <w:spacing w:line="240" w:lineRule="auto"/>
                        <w:jc w:val="both"/>
                        <w:rPr>
                          <w:rFonts w:cs="Arial"/>
                          <w:sz w:val="14"/>
                          <w:szCs w:val="14"/>
                        </w:rPr>
                      </w:pPr>
                      <w:proofErr w:type="spellStart"/>
                      <w:r w:rsidRPr="006329E6">
                        <w:rPr>
                          <w:rFonts w:cs="Arial"/>
                          <w:sz w:val="14"/>
                          <w:szCs w:val="14"/>
                        </w:rPr>
                        <w:t>Mthembeka</w:t>
                      </w:r>
                      <w:proofErr w:type="spellEnd"/>
                      <w:r w:rsidRPr="006329E6">
                        <w:rPr>
                          <w:rFonts w:cs="Arial"/>
                          <w:sz w:val="14"/>
                          <w:szCs w:val="14"/>
                        </w:rPr>
                        <w:t xml:space="preserve"> Z.A., </w:t>
                      </w:r>
                      <w:proofErr w:type="spellStart"/>
                      <w:r w:rsidRPr="006329E6">
                        <w:rPr>
                          <w:rFonts w:cs="Arial"/>
                          <w:sz w:val="14"/>
                          <w:szCs w:val="14"/>
                        </w:rPr>
                        <w:t>Lekganyane</w:t>
                      </w:r>
                      <w:proofErr w:type="spellEnd"/>
                      <w:r w:rsidRPr="006329E6">
                        <w:rPr>
                          <w:rFonts w:cs="Arial"/>
                          <w:sz w:val="14"/>
                          <w:szCs w:val="14"/>
                        </w:rPr>
                        <w:t xml:space="preserve"> M.S., Mofolo K.M.,</w:t>
                      </w:r>
                      <w:proofErr w:type="spellStart"/>
                      <w:r w:rsidRPr="006329E6">
                        <w:rPr>
                          <w:rFonts w:cs="Arial"/>
                          <w:sz w:val="14"/>
                          <w:szCs w:val="14"/>
                        </w:rPr>
                        <w:t>Gininda</w:t>
                      </w:r>
                      <w:proofErr w:type="spellEnd"/>
                      <w:r w:rsidRPr="006329E6">
                        <w:rPr>
                          <w:rFonts w:cs="Arial"/>
                          <w:sz w:val="14"/>
                          <w:szCs w:val="14"/>
                        </w:rPr>
                        <w:t xml:space="preserve"> P.</w:t>
                      </w:r>
                      <w:r>
                        <w:rPr>
                          <w:rFonts w:cs="Arial"/>
                          <w:sz w:val="14"/>
                          <w:szCs w:val="14"/>
                        </w:rPr>
                        <w:t xml:space="preserve">, </w:t>
                      </w:r>
                      <w:proofErr w:type="spellStart"/>
                      <w:r>
                        <w:rPr>
                          <w:rFonts w:cs="Arial"/>
                          <w:sz w:val="14"/>
                          <w:szCs w:val="14"/>
                        </w:rPr>
                        <w:t>Ramonyai</w:t>
                      </w:r>
                      <w:proofErr w:type="spellEnd"/>
                      <w:r>
                        <w:rPr>
                          <w:rFonts w:cs="Arial"/>
                          <w:sz w:val="14"/>
                          <w:szCs w:val="14"/>
                        </w:rPr>
                        <w:t xml:space="preserve"> D., Peter-</w:t>
                      </w:r>
                      <w:proofErr w:type="spellStart"/>
                      <w:r>
                        <w:rPr>
                          <w:rFonts w:cs="Arial"/>
                          <w:sz w:val="14"/>
                          <w:szCs w:val="14"/>
                        </w:rPr>
                        <w:t>Dukuza</w:t>
                      </w:r>
                      <w:proofErr w:type="spellEnd"/>
                      <w:r>
                        <w:rPr>
                          <w:rFonts w:cs="Arial"/>
                          <w:sz w:val="14"/>
                          <w:szCs w:val="14"/>
                        </w:rPr>
                        <w:t xml:space="preserve"> F.,</w:t>
                      </w:r>
                      <w:r w:rsidRPr="006329E6">
                        <w:rPr>
                          <w:rFonts w:cs="Arial"/>
                          <w:sz w:val="14"/>
                          <w:szCs w:val="14"/>
                        </w:rPr>
                        <w:t xml:space="preserve"> </w:t>
                      </w:r>
                      <w:proofErr w:type="spellStart"/>
                      <w:r w:rsidRPr="006329E6">
                        <w:rPr>
                          <w:rFonts w:cs="Arial"/>
                          <w:sz w:val="14"/>
                          <w:szCs w:val="14"/>
                        </w:rPr>
                        <w:t>Lubbe</w:t>
                      </w:r>
                      <w:proofErr w:type="spellEnd"/>
                      <w:r w:rsidRPr="006329E6">
                        <w:rPr>
                          <w:rFonts w:cs="Arial"/>
                          <w:sz w:val="14"/>
                          <w:szCs w:val="14"/>
                        </w:rPr>
                        <w:t xml:space="preserve"> P, Jafta A. and Mathlo I.M.</w:t>
                      </w:r>
                    </w:p>
                    <w:p w:rsidR="002E6059" w:rsidRDefault="002E6059" w:rsidP="006329E6">
                      <w:pPr>
                        <w:spacing w:line="240" w:lineRule="auto"/>
                        <w:jc w:val="both"/>
                        <w:rPr>
                          <w:rFonts w:cs="Arial"/>
                          <w:sz w:val="14"/>
                          <w:szCs w:val="14"/>
                        </w:rPr>
                      </w:pPr>
                      <w:r w:rsidRPr="006329E6">
                        <w:rPr>
                          <w:rFonts w:cs="Arial"/>
                          <w:sz w:val="14"/>
                          <w:szCs w:val="14"/>
                        </w:rPr>
                        <w:t>All correspondence can be addressed to:</w:t>
                      </w:r>
                    </w:p>
                    <w:p w:rsidR="002E6059" w:rsidRPr="006329E6" w:rsidRDefault="002E6059" w:rsidP="006329E6">
                      <w:pPr>
                        <w:spacing w:line="240" w:lineRule="auto"/>
                        <w:jc w:val="both"/>
                        <w:rPr>
                          <w:rFonts w:cs="Arial"/>
                          <w:sz w:val="14"/>
                          <w:szCs w:val="14"/>
                        </w:rPr>
                      </w:pPr>
                      <w:r w:rsidRPr="006329E6">
                        <w:rPr>
                          <w:rFonts w:cs="Arial"/>
                          <w:sz w:val="14"/>
                          <w:szCs w:val="14"/>
                        </w:rPr>
                        <w:t>The Director: Ms Ellen Matsei</w:t>
                      </w:r>
                    </w:p>
                    <w:p w:rsidR="002E6059" w:rsidRPr="006329E6" w:rsidRDefault="002E6059" w:rsidP="006329E6">
                      <w:pPr>
                        <w:spacing w:line="240" w:lineRule="auto"/>
                        <w:jc w:val="both"/>
                        <w:rPr>
                          <w:rFonts w:cs="Arial"/>
                          <w:sz w:val="14"/>
                          <w:szCs w:val="14"/>
                        </w:rPr>
                      </w:pPr>
                      <w:r w:rsidRPr="006329E6">
                        <w:rPr>
                          <w:rFonts w:cs="Arial"/>
                          <w:sz w:val="14"/>
                          <w:szCs w:val="14"/>
                        </w:rPr>
                        <w:t>Directorate: Statistics and Economic Analysis</w:t>
                      </w:r>
                    </w:p>
                    <w:p w:rsidR="002E6059" w:rsidRPr="006329E6" w:rsidRDefault="002E6059" w:rsidP="006329E6">
                      <w:pPr>
                        <w:spacing w:line="240" w:lineRule="auto"/>
                        <w:jc w:val="both"/>
                        <w:rPr>
                          <w:rFonts w:cs="Arial"/>
                          <w:sz w:val="14"/>
                          <w:szCs w:val="14"/>
                        </w:rPr>
                      </w:pPr>
                      <w:r w:rsidRPr="006329E6">
                        <w:rPr>
                          <w:rFonts w:cs="Arial"/>
                          <w:sz w:val="14"/>
                          <w:szCs w:val="14"/>
                        </w:rPr>
                        <w:t>4</w:t>
                      </w:r>
                      <w:r w:rsidRPr="006329E6">
                        <w:rPr>
                          <w:rFonts w:cs="Arial"/>
                          <w:sz w:val="14"/>
                          <w:szCs w:val="14"/>
                          <w:vertAlign w:val="superscript"/>
                        </w:rPr>
                        <w:t>th</w:t>
                      </w:r>
                      <w:r w:rsidRPr="006329E6">
                        <w:rPr>
                          <w:rFonts w:cs="Arial"/>
                          <w:sz w:val="14"/>
                          <w:szCs w:val="14"/>
                        </w:rPr>
                        <w:t xml:space="preserve"> Floor, </w:t>
                      </w:r>
                      <w:proofErr w:type="spellStart"/>
                      <w:r w:rsidRPr="006329E6">
                        <w:rPr>
                          <w:rFonts w:cs="Arial"/>
                          <w:sz w:val="14"/>
                          <w:szCs w:val="14"/>
                        </w:rPr>
                        <w:t>Sefala</w:t>
                      </w:r>
                      <w:proofErr w:type="spellEnd"/>
                      <w:r w:rsidRPr="006329E6">
                        <w:rPr>
                          <w:rFonts w:cs="Arial"/>
                          <w:sz w:val="14"/>
                          <w:szCs w:val="14"/>
                        </w:rPr>
                        <w:t xml:space="preserve"> Building</w:t>
                      </w:r>
                    </w:p>
                    <w:p w:rsidR="002E6059" w:rsidRPr="006329E6" w:rsidRDefault="002E6059" w:rsidP="006329E6">
                      <w:pPr>
                        <w:spacing w:line="240" w:lineRule="auto"/>
                        <w:jc w:val="both"/>
                        <w:rPr>
                          <w:rFonts w:cs="Arial"/>
                          <w:sz w:val="14"/>
                          <w:szCs w:val="14"/>
                        </w:rPr>
                      </w:pPr>
                      <w:r w:rsidRPr="006329E6">
                        <w:rPr>
                          <w:rFonts w:cs="Arial"/>
                          <w:sz w:val="14"/>
                          <w:szCs w:val="14"/>
                        </w:rPr>
                        <w:t>503 Belvedere Street, Arcadia, South Africa</w:t>
                      </w:r>
                    </w:p>
                    <w:p w:rsidR="002E6059" w:rsidRPr="006329E6" w:rsidRDefault="002E6059" w:rsidP="006329E6">
                      <w:pPr>
                        <w:spacing w:line="240" w:lineRule="auto"/>
                        <w:jc w:val="both"/>
                        <w:rPr>
                          <w:rFonts w:cs="Arial"/>
                          <w:sz w:val="14"/>
                          <w:szCs w:val="14"/>
                        </w:rPr>
                      </w:pPr>
                      <w:r w:rsidRPr="006329E6">
                        <w:rPr>
                          <w:rFonts w:cs="Arial"/>
                          <w:sz w:val="14"/>
                          <w:szCs w:val="14"/>
                        </w:rPr>
                        <w:t>Tel.: +27(12) 319 8454</w:t>
                      </w:r>
                    </w:p>
                    <w:p w:rsidR="002E6059" w:rsidRPr="006329E6" w:rsidRDefault="002E6059" w:rsidP="000E4873">
                      <w:pPr>
                        <w:jc w:val="both"/>
                        <w:rPr>
                          <w:rFonts w:cs="Arial"/>
                          <w:sz w:val="14"/>
                          <w:szCs w:val="14"/>
                        </w:rPr>
                      </w:pPr>
                      <w:r w:rsidRPr="006329E6">
                        <w:rPr>
                          <w:rFonts w:cs="Arial"/>
                          <w:sz w:val="14"/>
                          <w:szCs w:val="14"/>
                        </w:rPr>
                        <w:t>E-mail:DAS@daff.gov.za</w:t>
                      </w:r>
                    </w:p>
                  </w:txbxContent>
                </v:textbox>
              </v:shape>
            </w:pict>
          </mc:Fallback>
        </mc:AlternateContent>
      </w:r>
    </w:p>
    <w:p w:rsidR="000E4873" w:rsidRPr="009F08C4" w:rsidRDefault="000E4873" w:rsidP="000E4873">
      <w:pPr>
        <w:spacing w:after="0" w:line="360" w:lineRule="auto"/>
        <w:jc w:val="both"/>
        <w:rPr>
          <w:rFonts w:eastAsia="Times New Roman" w:cs="Arial"/>
          <w:sz w:val="24"/>
          <w:szCs w:val="24"/>
          <w:lang w:val="en-GB"/>
        </w:rPr>
      </w:pPr>
    </w:p>
    <w:p w:rsidR="000E4873" w:rsidRPr="009F08C4" w:rsidRDefault="000E4873" w:rsidP="000E4873">
      <w:pPr>
        <w:spacing w:after="0" w:line="360" w:lineRule="auto"/>
        <w:jc w:val="both"/>
        <w:rPr>
          <w:rFonts w:eastAsia="Times New Roman" w:cs="Arial"/>
          <w:sz w:val="24"/>
          <w:szCs w:val="24"/>
          <w:lang w:val="en-GB"/>
        </w:rPr>
      </w:pPr>
    </w:p>
    <w:p w:rsidR="000E4873" w:rsidRPr="009F08C4" w:rsidRDefault="000E4873" w:rsidP="000E4873">
      <w:pPr>
        <w:spacing w:after="0" w:line="360" w:lineRule="auto"/>
        <w:jc w:val="both"/>
        <w:rPr>
          <w:rFonts w:eastAsia="Times New Roman" w:cs="Arial"/>
          <w:sz w:val="24"/>
          <w:szCs w:val="24"/>
          <w:lang w:val="en-GB"/>
        </w:rPr>
      </w:pPr>
    </w:p>
    <w:p w:rsidR="000E4873" w:rsidRPr="009F08C4" w:rsidRDefault="000E4873" w:rsidP="000E4873">
      <w:pPr>
        <w:spacing w:after="0" w:line="360" w:lineRule="auto"/>
        <w:jc w:val="both"/>
        <w:rPr>
          <w:rFonts w:eastAsia="Times New Roman" w:cs="Arial"/>
          <w:sz w:val="24"/>
          <w:szCs w:val="24"/>
          <w:lang w:val="en-GB"/>
        </w:rPr>
      </w:pPr>
    </w:p>
    <w:p w:rsidR="000E4873" w:rsidRPr="009F08C4" w:rsidRDefault="000E4873" w:rsidP="000E4873">
      <w:pPr>
        <w:spacing w:after="0" w:line="360" w:lineRule="auto"/>
        <w:jc w:val="both"/>
        <w:rPr>
          <w:rFonts w:eastAsia="Times New Roman" w:cs="Arial"/>
          <w:sz w:val="24"/>
          <w:szCs w:val="24"/>
          <w:lang w:val="en-GB"/>
        </w:rPr>
      </w:pPr>
    </w:p>
    <w:p w:rsidR="000E4873" w:rsidRPr="009F08C4" w:rsidRDefault="000E4873" w:rsidP="000E4873">
      <w:pPr>
        <w:spacing w:after="0" w:line="360" w:lineRule="auto"/>
        <w:jc w:val="both"/>
        <w:rPr>
          <w:rFonts w:eastAsia="Times New Roman" w:cs="Arial"/>
          <w:sz w:val="24"/>
          <w:szCs w:val="24"/>
          <w:lang w:val="en-GB"/>
        </w:rPr>
      </w:pPr>
    </w:p>
    <w:p w:rsidR="000E4873" w:rsidRPr="009F08C4" w:rsidRDefault="000E4873" w:rsidP="000E4873">
      <w:pPr>
        <w:spacing w:after="0" w:line="360" w:lineRule="auto"/>
        <w:jc w:val="both"/>
        <w:rPr>
          <w:rFonts w:eastAsia="Times New Roman" w:cs="Arial"/>
          <w:sz w:val="24"/>
          <w:szCs w:val="24"/>
          <w:lang w:val="en-GB"/>
        </w:rPr>
      </w:pPr>
      <w:r w:rsidRPr="009F08C4">
        <w:rPr>
          <w:rFonts w:eastAsia="Times New Roman" w:cs="Arial"/>
          <w:sz w:val="24"/>
          <w:szCs w:val="24"/>
          <w:lang w:val="en-GB"/>
        </w:rPr>
        <w:t>_____________________________________________________________</w:t>
      </w:r>
    </w:p>
    <w:p w:rsidR="000E4873" w:rsidRPr="009F08C4" w:rsidRDefault="000E4873" w:rsidP="000E4873">
      <w:pPr>
        <w:spacing w:after="0" w:line="360" w:lineRule="auto"/>
        <w:jc w:val="both"/>
        <w:rPr>
          <w:rFonts w:eastAsia="Times New Roman" w:cs="Arial"/>
          <w:sz w:val="24"/>
          <w:szCs w:val="24"/>
          <w:lang w:val="en-GB"/>
        </w:rPr>
      </w:pPr>
    </w:p>
    <w:p w:rsidR="000E4873" w:rsidRPr="009F08C4" w:rsidRDefault="000E4873" w:rsidP="000E4873">
      <w:pPr>
        <w:widowControl w:val="0"/>
        <w:spacing w:after="120" w:line="240" w:lineRule="auto"/>
        <w:jc w:val="both"/>
        <w:rPr>
          <w:rFonts w:eastAsia="Times New Roman" w:cs="Arial"/>
          <w:b/>
          <w:i/>
          <w:iCs/>
          <w:sz w:val="16"/>
          <w:szCs w:val="16"/>
          <w:lang w:val="en-US" w:eastAsia="en-GB"/>
        </w:rPr>
      </w:pPr>
      <w:r w:rsidRPr="009F08C4">
        <w:rPr>
          <w:rFonts w:eastAsia="Times New Roman" w:cs="Arial"/>
          <w:b/>
          <w:bCs/>
          <w:i/>
          <w:iCs/>
          <w:sz w:val="16"/>
          <w:szCs w:val="16"/>
          <w:lang w:val="en-US" w:eastAsia="en-GB"/>
        </w:rPr>
        <w:t xml:space="preserve">Disclaimer: </w:t>
      </w:r>
      <w:r w:rsidRPr="009F08C4">
        <w:rPr>
          <w:rFonts w:eastAsia="Times New Roman" w:cs="Arial"/>
          <w:b/>
          <w:i/>
          <w:iCs/>
          <w:sz w:val="16"/>
          <w:szCs w:val="16"/>
          <w:lang w:val="en-US" w:eastAsia="en-GB"/>
        </w:rPr>
        <w:t>The Department of Agriculture, Forestry and Fisheries did everything to ensure the accuracy of the information reported in this publication. The department will, however, not be liable for the results of actions based on this publication.</w:t>
      </w:r>
    </w:p>
    <w:p w:rsidR="000E4873" w:rsidRDefault="000E4873" w:rsidP="00A6420E">
      <w:pPr>
        <w:spacing w:after="0" w:line="360" w:lineRule="auto"/>
        <w:jc w:val="both"/>
        <w:rPr>
          <w:rFonts w:cs="Arial"/>
          <w:b/>
        </w:rPr>
      </w:pPr>
    </w:p>
    <w:p w:rsidR="00897AAB" w:rsidRDefault="00897AAB" w:rsidP="00A6420E">
      <w:pPr>
        <w:spacing w:after="0" w:line="360" w:lineRule="auto"/>
        <w:jc w:val="both"/>
        <w:rPr>
          <w:rFonts w:cs="Arial"/>
          <w:b/>
        </w:rPr>
      </w:pPr>
    </w:p>
    <w:p w:rsidR="00897AAB" w:rsidRDefault="00897AAB" w:rsidP="00A6420E">
      <w:pPr>
        <w:spacing w:after="0" w:line="360" w:lineRule="auto"/>
        <w:jc w:val="both"/>
        <w:rPr>
          <w:rFonts w:cs="Arial"/>
          <w:b/>
        </w:rPr>
      </w:pPr>
    </w:p>
    <w:p w:rsidR="00C5290F" w:rsidRDefault="00C5290F" w:rsidP="00897AAB">
      <w:pPr>
        <w:autoSpaceDE w:val="0"/>
        <w:autoSpaceDN w:val="0"/>
        <w:adjustRightInd w:val="0"/>
        <w:spacing w:after="0" w:line="240" w:lineRule="auto"/>
        <w:rPr>
          <w:rFonts w:eastAsia="Times New Roman" w:cs="Arial"/>
          <w:b/>
          <w:bCs/>
          <w:color w:val="FF0000"/>
          <w:lang w:val="en-GB"/>
        </w:rPr>
      </w:pPr>
    </w:p>
    <w:p w:rsidR="00C5290F" w:rsidRDefault="00C5290F" w:rsidP="00897AAB">
      <w:pPr>
        <w:autoSpaceDE w:val="0"/>
        <w:autoSpaceDN w:val="0"/>
        <w:adjustRightInd w:val="0"/>
        <w:spacing w:after="0" w:line="240" w:lineRule="auto"/>
        <w:rPr>
          <w:rFonts w:eastAsia="Times New Roman" w:cs="Arial"/>
          <w:b/>
          <w:bCs/>
          <w:color w:val="FF0000"/>
          <w:lang w:val="en-GB"/>
        </w:rPr>
      </w:pPr>
    </w:p>
    <w:p w:rsidR="00C5290F" w:rsidRDefault="00C5290F" w:rsidP="00897AAB">
      <w:pPr>
        <w:autoSpaceDE w:val="0"/>
        <w:autoSpaceDN w:val="0"/>
        <w:adjustRightInd w:val="0"/>
        <w:spacing w:after="0" w:line="240" w:lineRule="auto"/>
        <w:rPr>
          <w:rFonts w:eastAsia="Times New Roman" w:cs="Arial"/>
          <w:b/>
          <w:bCs/>
          <w:color w:val="FF0000"/>
          <w:lang w:val="en-GB"/>
        </w:rPr>
      </w:pPr>
    </w:p>
    <w:p w:rsidR="00897AAB" w:rsidRPr="009F08C4" w:rsidRDefault="00897AAB" w:rsidP="00897AAB">
      <w:pPr>
        <w:autoSpaceDE w:val="0"/>
        <w:autoSpaceDN w:val="0"/>
        <w:adjustRightInd w:val="0"/>
        <w:spacing w:after="0" w:line="240" w:lineRule="auto"/>
        <w:rPr>
          <w:rFonts w:eastAsia="Times New Roman" w:cs="Arial"/>
          <w:b/>
          <w:bCs/>
          <w:color w:val="FF0000"/>
          <w:lang w:val="en-GB"/>
        </w:rPr>
      </w:pPr>
      <w:r>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1" locked="0" layoutInCell="1" allowOverlap="0" wp14:anchorId="2735C99B" wp14:editId="558411E1">
                <wp:simplePos x="0" y="0"/>
                <wp:positionH relativeFrom="column">
                  <wp:posOffset>-69215</wp:posOffset>
                </wp:positionH>
                <wp:positionV relativeFrom="paragraph">
                  <wp:posOffset>127000</wp:posOffset>
                </wp:positionV>
                <wp:extent cx="2630805" cy="339090"/>
                <wp:effectExtent l="0" t="0" r="17145" b="6096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0805" cy="339090"/>
                        </a:xfrm>
                        <a:prstGeom prst="rect">
                          <a:avLst/>
                        </a:prstGeom>
                        <a:solidFill>
                          <a:srgbClr val="EAF1DD"/>
                        </a:solidFill>
                        <a:ln w="9525">
                          <a:solidFill>
                            <a:srgbClr val="EAF1DD"/>
                          </a:solidFill>
                          <a:miter lim="800000"/>
                          <a:headEnd/>
                          <a:tailEnd/>
                        </a:ln>
                        <a:effectLst>
                          <a:outerShdw dist="20000" dir="5400000" rotWithShape="0">
                            <a:srgbClr val="000000">
                              <a:alpha val="37999"/>
                            </a:srgbClr>
                          </a:outerShdw>
                        </a:effectLst>
                      </wps:spPr>
                      <wps:txbx>
                        <w:txbxContent>
                          <w:p w:rsidR="002E6059" w:rsidRPr="00897AAB" w:rsidRDefault="002E6059" w:rsidP="00897AAB">
                            <w:pPr>
                              <w:pStyle w:val="Heading1"/>
                              <w:rPr>
                                <w:rStyle w:val="StyleAvantGardeBkBT10pt"/>
                                <w:rFonts w:ascii="Arial Black" w:hAnsi="Arial Black"/>
                              </w:rPr>
                            </w:pPr>
                            <w:bookmarkStart w:id="0" w:name="_Toc489537693"/>
                            <w:r w:rsidRPr="00897AAB">
                              <w:rPr>
                                <w:rStyle w:val="StyleAvantGardeBkBT10pt"/>
                                <w:rFonts w:ascii="Arial Black" w:hAnsi="Arial Black"/>
                              </w:rPr>
                              <w:t>List of figures</w:t>
                            </w:r>
                            <w:bookmarkEnd w:id="0"/>
                          </w:p>
                          <w:p w:rsidR="002E6059" w:rsidRDefault="002E6059" w:rsidP="00897AAB"/>
                          <w:p w:rsidR="002E6059" w:rsidRDefault="002E6059" w:rsidP="00897AAB"/>
                          <w:p w:rsidR="002E6059" w:rsidRDefault="002E6059" w:rsidP="00897AAB"/>
                          <w:p w:rsidR="002E6059" w:rsidRPr="00D25492" w:rsidRDefault="002E6059" w:rsidP="00897A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8" style="position:absolute;margin-left:-5.45pt;margin-top:10pt;width:207.15pt;height:26.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" o:allowoverlap="f" fillcolor="#eaf1dd" strokecolor="#eaf1dd">
                <v:shadow on="t" color="black" opacity="24903f" origin=",.5" offset="0,.55556mm"/>
                <v:textbox>
                  <w:txbxContent>
                    <w:p w:rsidR="002E6059" w:rsidRPr="00897AAB" w:rsidRDefault="002E6059" w:rsidP="00897AAB">
                      <w:pPr>
                        <w:pStyle w:val="Heading1"/>
                        <w:rPr>
                          <w:rStyle w:val="StyleAvantGardeBkBT10pt"/>
                          <w:rFonts w:ascii="Arial Black" w:hAnsi="Arial Black"/>
                        </w:rPr>
                      </w:pPr>
                      <w:bookmarkStart w:id="1" w:name="_Toc489537693"/>
                      <w:r w:rsidRPr="00897AAB">
                        <w:rPr>
                          <w:rStyle w:val="StyleAvantGardeBkBT10pt"/>
                          <w:rFonts w:ascii="Arial Black" w:hAnsi="Arial Black"/>
                        </w:rPr>
                        <w:t>List of figures</w:t>
                      </w:r>
                      <w:bookmarkEnd w:id="1"/>
                    </w:p>
                    <w:p w:rsidR="002E6059" w:rsidRDefault="002E6059" w:rsidP="00897AAB"/>
                    <w:p w:rsidR="002E6059" w:rsidRDefault="002E6059" w:rsidP="00897AAB"/>
                    <w:p w:rsidR="002E6059" w:rsidRDefault="002E6059" w:rsidP="00897AAB"/>
                    <w:p w:rsidR="002E6059" w:rsidRPr="00D25492" w:rsidRDefault="002E6059" w:rsidP="00897AAB"/>
                  </w:txbxContent>
                </v:textbox>
              </v:rect>
            </w:pict>
          </mc:Fallback>
        </mc:AlternateContent>
      </w:r>
    </w:p>
    <w:p w:rsidR="00161276" w:rsidRPr="00161276" w:rsidRDefault="00161276" w:rsidP="00161276">
      <w:pPr>
        <w:rPr>
          <w:color w:val="000000" w:themeColor="text1"/>
        </w:rPr>
      </w:pPr>
    </w:p>
    <w:p w:rsidR="00161276" w:rsidRPr="00161276" w:rsidRDefault="00161276" w:rsidP="00161276">
      <w:pPr>
        <w:rPr>
          <w:color w:val="000000" w:themeColor="text1"/>
        </w:rPr>
      </w:pPr>
    </w:p>
    <w:p w:rsidR="00C5290F" w:rsidRPr="006F77E3" w:rsidRDefault="00C5290F" w:rsidP="006F77E3">
      <w:pPr>
        <w:ind w:firstLine="440"/>
      </w:pPr>
      <w:r w:rsidRPr="006F77E3">
        <w:t>Figure 1: Advanced Economies Quarterly GDP Growth Rates</w:t>
      </w:r>
      <w:r w:rsidR="006F77E3" w:rsidRPr="006F77E3">
        <w:t>……………………………………………………</w:t>
      </w:r>
      <w:r w:rsidRPr="006F77E3">
        <w:rPr>
          <w:webHidden/>
        </w:rPr>
        <w:fldChar w:fldCharType="begin"/>
      </w:r>
      <w:r w:rsidRPr="006F77E3">
        <w:rPr>
          <w:webHidden/>
        </w:rPr>
        <w:instrText xml:space="preserve"> PAGEREF _Toc489537697 \h </w:instrText>
      </w:r>
      <w:r w:rsidRPr="006F77E3">
        <w:rPr>
          <w:webHidden/>
        </w:rPr>
      </w:r>
      <w:r w:rsidRPr="006F77E3">
        <w:rPr>
          <w:webHidden/>
        </w:rPr>
        <w:fldChar w:fldCharType="separate"/>
      </w:r>
      <w:r w:rsidRPr="006F77E3">
        <w:rPr>
          <w:webHidden/>
        </w:rPr>
        <w:t>9</w:t>
      </w:r>
      <w:r w:rsidRPr="006F77E3">
        <w:rPr>
          <w:webHidden/>
        </w:rPr>
        <w:fldChar w:fldCharType="end"/>
      </w:r>
    </w:p>
    <w:p w:rsidR="00C5290F" w:rsidRPr="006F77E3" w:rsidRDefault="002E6059" w:rsidP="001E59A4">
      <w:pPr>
        <w:pStyle w:val="TOC3"/>
        <w:rPr>
          <w:rFonts w:asciiTheme="minorHAnsi" w:hAnsiTheme="minorHAnsi"/>
          <w:sz w:val="22"/>
        </w:rPr>
      </w:pPr>
      <w:hyperlink w:anchor="_Toc489537698" w:history="1">
        <w:r w:rsidR="00C5290F" w:rsidRPr="006F77E3">
          <w:rPr>
            <w:rStyle w:val="Hyperlink"/>
            <w:color w:val="auto"/>
            <w:u w:val="none"/>
          </w:rPr>
          <w:t>Figure 2: Emerging Markets and Developing Economies Quarterly GDP Growth Rates</w:t>
        </w:r>
        <w:r w:rsidR="00C5290F" w:rsidRPr="006F77E3">
          <w:rPr>
            <w:webHidden/>
          </w:rPr>
          <w:tab/>
        </w:r>
        <w:r w:rsidR="00C5290F" w:rsidRPr="006F77E3">
          <w:rPr>
            <w:webHidden/>
          </w:rPr>
          <w:fldChar w:fldCharType="begin"/>
        </w:r>
        <w:r w:rsidR="00C5290F" w:rsidRPr="006F77E3">
          <w:rPr>
            <w:webHidden/>
          </w:rPr>
          <w:instrText xml:space="preserve"> PAGEREF _Toc489537698 \h </w:instrText>
        </w:r>
        <w:r w:rsidR="00C5290F" w:rsidRPr="006F77E3">
          <w:rPr>
            <w:webHidden/>
          </w:rPr>
        </w:r>
        <w:r w:rsidR="00C5290F" w:rsidRPr="006F77E3">
          <w:rPr>
            <w:webHidden/>
          </w:rPr>
          <w:fldChar w:fldCharType="separate"/>
        </w:r>
        <w:r w:rsidR="00C5290F" w:rsidRPr="006F77E3">
          <w:rPr>
            <w:webHidden/>
          </w:rPr>
          <w:t>10</w:t>
        </w:r>
        <w:r w:rsidR="00C5290F" w:rsidRPr="006F77E3">
          <w:rPr>
            <w:webHidden/>
          </w:rPr>
          <w:fldChar w:fldCharType="end"/>
        </w:r>
      </w:hyperlink>
    </w:p>
    <w:p w:rsidR="00C5290F" w:rsidRPr="006F77E3" w:rsidRDefault="002E6059" w:rsidP="001E59A4">
      <w:pPr>
        <w:pStyle w:val="TOC3"/>
        <w:rPr>
          <w:rFonts w:asciiTheme="minorHAnsi" w:hAnsiTheme="minorHAnsi"/>
          <w:sz w:val="22"/>
        </w:rPr>
      </w:pPr>
      <w:hyperlink w:anchor="_Toc489537700" w:history="1">
        <w:r w:rsidR="00C5290F" w:rsidRPr="006F77E3">
          <w:rPr>
            <w:rStyle w:val="Hyperlink"/>
            <w:color w:val="auto"/>
            <w:u w:val="none"/>
          </w:rPr>
          <w:t>Figure 3: Quarterly global grain supply forecast</w:t>
        </w:r>
        <w:r w:rsidR="00C5290F" w:rsidRPr="006F77E3">
          <w:rPr>
            <w:webHidden/>
          </w:rPr>
          <w:tab/>
        </w:r>
        <w:r w:rsidR="00C5290F" w:rsidRPr="006F77E3">
          <w:rPr>
            <w:webHidden/>
          </w:rPr>
          <w:fldChar w:fldCharType="begin"/>
        </w:r>
        <w:r w:rsidR="00C5290F" w:rsidRPr="006F77E3">
          <w:rPr>
            <w:webHidden/>
          </w:rPr>
          <w:instrText xml:space="preserve"> PAGEREF _Toc489537700 \h </w:instrText>
        </w:r>
        <w:r w:rsidR="00C5290F" w:rsidRPr="006F77E3">
          <w:rPr>
            <w:webHidden/>
          </w:rPr>
        </w:r>
        <w:r w:rsidR="00C5290F" w:rsidRPr="006F77E3">
          <w:rPr>
            <w:webHidden/>
          </w:rPr>
          <w:fldChar w:fldCharType="separate"/>
        </w:r>
        <w:r w:rsidR="00C5290F" w:rsidRPr="006F77E3">
          <w:rPr>
            <w:webHidden/>
          </w:rPr>
          <w:t>11</w:t>
        </w:r>
        <w:r w:rsidR="00C5290F" w:rsidRPr="006F77E3">
          <w:rPr>
            <w:webHidden/>
          </w:rPr>
          <w:fldChar w:fldCharType="end"/>
        </w:r>
      </w:hyperlink>
    </w:p>
    <w:p w:rsidR="00C5290F" w:rsidRPr="006F77E3" w:rsidRDefault="002E6059" w:rsidP="001E59A4">
      <w:pPr>
        <w:pStyle w:val="TOC3"/>
        <w:rPr>
          <w:rFonts w:asciiTheme="minorHAnsi" w:hAnsiTheme="minorHAnsi"/>
          <w:sz w:val="22"/>
        </w:rPr>
      </w:pPr>
      <w:hyperlink w:anchor="_Toc489537702" w:history="1">
        <w:r w:rsidR="00C5290F" w:rsidRPr="006F77E3">
          <w:rPr>
            <w:rStyle w:val="Hyperlink"/>
            <w:color w:val="auto"/>
            <w:u w:val="none"/>
          </w:rPr>
          <w:t>Figure 4: Quarterly global food price indices</w:t>
        </w:r>
        <w:r w:rsidR="00C5290F" w:rsidRPr="006F77E3">
          <w:rPr>
            <w:webHidden/>
          </w:rPr>
          <w:tab/>
        </w:r>
        <w:r w:rsidR="00C5290F" w:rsidRPr="006F77E3">
          <w:rPr>
            <w:webHidden/>
          </w:rPr>
          <w:fldChar w:fldCharType="begin"/>
        </w:r>
        <w:r w:rsidR="00C5290F" w:rsidRPr="006F77E3">
          <w:rPr>
            <w:webHidden/>
          </w:rPr>
          <w:instrText xml:space="preserve"> PAGEREF _Toc489537702 \h </w:instrText>
        </w:r>
        <w:r w:rsidR="00C5290F" w:rsidRPr="006F77E3">
          <w:rPr>
            <w:webHidden/>
          </w:rPr>
        </w:r>
        <w:r w:rsidR="00C5290F" w:rsidRPr="006F77E3">
          <w:rPr>
            <w:webHidden/>
          </w:rPr>
          <w:fldChar w:fldCharType="separate"/>
        </w:r>
        <w:r w:rsidR="00C5290F" w:rsidRPr="006F77E3">
          <w:rPr>
            <w:webHidden/>
          </w:rPr>
          <w:t>12</w:t>
        </w:r>
        <w:r w:rsidR="00C5290F" w:rsidRPr="006F77E3">
          <w:rPr>
            <w:webHidden/>
          </w:rPr>
          <w:fldChar w:fldCharType="end"/>
        </w:r>
      </w:hyperlink>
    </w:p>
    <w:p w:rsidR="00C5290F" w:rsidRPr="006F77E3" w:rsidRDefault="002E6059" w:rsidP="001E59A4">
      <w:pPr>
        <w:pStyle w:val="TOC3"/>
        <w:rPr>
          <w:rFonts w:asciiTheme="minorHAnsi" w:hAnsiTheme="minorHAnsi"/>
          <w:sz w:val="22"/>
        </w:rPr>
      </w:pPr>
      <w:hyperlink w:anchor="_Toc489537705" w:history="1">
        <w:r w:rsidR="00C5290F" w:rsidRPr="006F77E3">
          <w:rPr>
            <w:rStyle w:val="Hyperlink"/>
            <w:color w:val="auto"/>
            <w:u w:val="none"/>
            <w:lang w:val="en-GB" w:eastAsia="en-US"/>
          </w:rPr>
          <w:t>Figure 6: Agriculture, forestry and fishing sector growth rates</w:t>
        </w:r>
        <w:r w:rsidR="00C5290F" w:rsidRPr="006F77E3">
          <w:rPr>
            <w:webHidden/>
          </w:rPr>
          <w:tab/>
        </w:r>
        <w:r w:rsidR="00C5290F" w:rsidRPr="006F77E3">
          <w:rPr>
            <w:webHidden/>
          </w:rPr>
          <w:fldChar w:fldCharType="begin"/>
        </w:r>
        <w:r w:rsidR="00C5290F" w:rsidRPr="006F77E3">
          <w:rPr>
            <w:webHidden/>
          </w:rPr>
          <w:instrText xml:space="preserve"> PAGEREF _Toc489537705 \h </w:instrText>
        </w:r>
        <w:r w:rsidR="00C5290F" w:rsidRPr="006F77E3">
          <w:rPr>
            <w:webHidden/>
          </w:rPr>
        </w:r>
        <w:r w:rsidR="00C5290F" w:rsidRPr="006F77E3">
          <w:rPr>
            <w:webHidden/>
          </w:rPr>
          <w:fldChar w:fldCharType="separate"/>
        </w:r>
        <w:r w:rsidR="00C5290F" w:rsidRPr="006F77E3">
          <w:rPr>
            <w:webHidden/>
          </w:rPr>
          <w:t>14</w:t>
        </w:r>
        <w:r w:rsidR="00C5290F" w:rsidRPr="006F77E3">
          <w:rPr>
            <w:webHidden/>
          </w:rPr>
          <w:fldChar w:fldCharType="end"/>
        </w:r>
      </w:hyperlink>
    </w:p>
    <w:p w:rsidR="00C5290F" w:rsidRPr="006F77E3" w:rsidRDefault="002E6059" w:rsidP="001E59A4">
      <w:pPr>
        <w:pStyle w:val="TOC3"/>
        <w:rPr>
          <w:rFonts w:asciiTheme="minorHAnsi" w:hAnsiTheme="minorHAnsi"/>
          <w:sz w:val="22"/>
        </w:rPr>
      </w:pPr>
      <w:hyperlink w:anchor="_Toc489537707" w:history="1">
        <w:r w:rsidR="00C5290F" w:rsidRPr="006F77E3">
          <w:rPr>
            <w:rStyle w:val="Hyperlink"/>
            <w:color w:val="auto"/>
            <w:u w:val="none"/>
            <w:lang w:val="en-GB"/>
          </w:rPr>
          <w:t>Figure 7: SA headline CPI and CPI for food</w:t>
        </w:r>
        <w:r w:rsidR="00C5290F" w:rsidRPr="006F77E3">
          <w:rPr>
            <w:webHidden/>
          </w:rPr>
          <w:tab/>
        </w:r>
        <w:r w:rsidR="00C5290F" w:rsidRPr="006F77E3">
          <w:rPr>
            <w:webHidden/>
          </w:rPr>
          <w:fldChar w:fldCharType="begin"/>
        </w:r>
        <w:r w:rsidR="00C5290F" w:rsidRPr="006F77E3">
          <w:rPr>
            <w:webHidden/>
          </w:rPr>
          <w:instrText xml:space="preserve"> PAGEREF _Toc489537707 \h </w:instrText>
        </w:r>
        <w:r w:rsidR="00C5290F" w:rsidRPr="006F77E3">
          <w:rPr>
            <w:webHidden/>
          </w:rPr>
        </w:r>
        <w:r w:rsidR="00C5290F" w:rsidRPr="006F77E3">
          <w:rPr>
            <w:webHidden/>
          </w:rPr>
          <w:fldChar w:fldCharType="separate"/>
        </w:r>
        <w:r w:rsidR="00C5290F" w:rsidRPr="006F77E3">
          <w:rPr>
            <w:webHidden/>
          </w:rPr>
          <w:t>15</w:t>
        </w:r>
        <w:r w:rsidR="00C5290F" w:rsidRPr="006F77E3">
          <w:rPr>
            <w:webHidden/>
          </w:rPr>
          <w:fldChar w:fldCharType="end"/>
        </w:r>
      </w:hyperlink>
    </w:p>
    <w:p w:rsidR="00C5290F" w:rsidRPr="006F77E3" w:rsidRDefault="002E6059" w:rsidP="001E59A4">
      <w:pPr>
        <w:pStyle w:val="TOC3"/>
        <w:rPr>
          <w:rFonts w:asciiTheme="minorHAnsi" w:hAnsiTheme="minorHAnsi"/>
          <w:sz w:val="22"/>
        </w:rPr>
      </w:pPr>
      <w:hyperlink w:anchor="_Toc489537708" w:history="1">
        <w:r w:rsidR="00C5290F" w:rsidRPr="006F77E3">
          <w:rPr>
            <w:rStyle w:val="Hyperlink"/>
            <w:color w:val="auto"/>
            <w:u w:val="none"/>
            <w:lang w:val="en-GB" w:eastAsia="en-US"/>
          </w:rPr>
          <w:t>Figure 8: CPI for selected food items</w:t>
        </w:r>
        <w:r w:rsidR="00C5290F" w:rsidRPr="006F77E3">
          <w:rPr>
            <w:webHidden/>
          </w:rPr>
          <w:tab/>
        </w:r>
        <w:r w:rsidR="00C5290F" w:rsidRPr="006F77E3">
          <w:rPr>
            <w:webHidden/>
          </w:rPr>
          <w:fldChar w:fldCharType="begin"/>
        </w:r>
        <w:r w:rsidR="00C5290F" w:rsidRPr="006F77E3">
          <w:rPr>
            <w:webHidden/>
          </w:rPr>
          <w:instrText xml:space="preserve"> PAGEREF _Toc489537708 \h </w:instrText>
        </w:r>
        <w:r w:rsidR="00C5290F" w:rsidRPr="006F77E3">
          <w:rPr>
            <w:webHidden/>
          </w:rPr>
        </w:r>
        <w:r w:rsidR="00C5290F" w:rsidRPr="006F77E3">
          <w:rPr>
            <w:webHidden/>
          </w:rPr>
          <w:fldChar w:fldCharType="separate"/>
        </w:r>
        <w:r w:rsidR="00C5290F" w:rsidRPr="006F77E3">
          <w:rPr>
            <w:webHidden/>
          </w:rPr>
          <w:t>16</w:t>
        </w:r>
        <w:r w:rsidR="00C5290F" w:rsidRPr="006F77E3">
          <w:rPr>
            <w:webHidden/>
          </w:rPr>
          <w:fldChar w:fldCharType="end"/>
        </w:r>
      </w:hyperlink>
    </w:p>
    <w:p w:rsidR="00C5290F" w:rsidRPr="006F77E3" w:rsidRDefault="00C5290F" w:rsidP="006F77E3">
      <w:pPr>
        <w:ind w:firstLine="440"/>
      </w:pPr>
      <w:r w:rsidRPr="006F77E3">
        <w:t xml:space="preserve">Figure 9: </w:t>
      </w:r>
      <w:r w:rsidRPr="006F77E3">
        <w:rPr>
          <w:lang w:val="en-GB" w:eastAsia="en-US"/>
        </w:rPr>
        <w:t>Total number of people employed in the agriculture sector between 2015 and 2017</w:t>
      </w:r>
      <w:r w:rsidR="006F77E3" w:rsidRPr="006F77E3">
        <w:rPr>
          <w:lang w:val="en-GB" w:eastAsia="en-US"/>
        </w:rPr>
        <w:t>……………..</w:t>
      </w:r>
      <w:r w:rsidRPr="006F77E3">
        <w:rPr>
          <w:webHidden/>
        </w:rPr>
        <w:fldChar w:fldCharType="begin"/>
      </w:r>
      <w:r w:rsidRPr="006F77E3">
        <w:rPr>
          <w:webHidden/>
        </w:rPr>
        <w:instrText xml:space="preserve"> PAGEREF _Toc489537710 \h </w:instrText>
      </w:r>
      <w:r w:rsidRPr="006F77E3">
        <w:rPr>
          <w:webHidden/>
        </w:rPr>
      </w:r>
      <w:r w:rsidRPr="006F77E3">
        <w:rPr>
          <w:webHidden/>
        </w:rPr>
        <w:fldChar w:fldCharType="separate"/>
      </w:r>
      <w:r w:rsidRPr="006F77E3">
        <w:rPr>
          <w:webHidden/>
        </w:rPr>
        <w:t>18</w:t>
      </w:r>
      <w:r w:rsidRPr="006F77E3">
        <w:rPr>
          <w:webHidden/>
        </w:rPr>
        <w:fldChar w:fldCharType="end"/>
      </w:r>
    </w:p>
    <w:p w:rsidR="00C5290F" w:rsidRPr="006F77E3" w:rsidRDefault="00C5290F" w:rsidP="006F77E3">
      <w:pPr>
        <w:ind w:firstLine="440"/>
      </w:pPr>
      <w:r w:rsidRPr="006F77E3">
        <w:t>Figure 10: Provincial agriculture employment between fourth quarter of 2016 and first quarter of 2017</w:t>
      </w:r>
    </w:p>
    <w:p w:rsidR="00C5290F" w:rsidRPr="006F77E3" w:rsidRDefault="00C5290F" w:rsidP="006F77E3">
      <w:pPr>
        <w:ind w:firstLine="440"/>
        <w:rPr>
          <w:lang w:val="en-GB" w:eastAsia="en-US"/>
        </w:rPr>
      </w:pPr>
      <w:r w:rsidRPr="006F77E3">
        <w:rPr>
          <w:lang w:val="en-GB" w:eastAsia="en-US"/>
        </w:rPr>
        <w:t xml:space="preserve">Figure 11: Provincial number of people involved in subsistence farming between the </w:t>
      </w:r>
      <w:proofErr w:type="gramStart"/>
      <w:r w:rsidRPr="006F77E3">
        <w:rPr>
          <w:lang w:val="en-GB" w:eastAsia="en-US"/>
        </w:rPr>
        <w:t>fourth  quarter</w:t>
      </w:r>
      <w:proofErr w:type="gramEnd"/>
      <w:r w:rsidRPr="006F77E3">
        <w:rPr>
          <w:lang w:val="en-GB" w:eastAsia="en-US"/>
        </w:rPr>
        <w:t xml:space="preserve"> of 2016 </w:t>
      </w:r>
    </w:p>
    <w:p w:rsidR="006F77E3" w:rsidRPr="006F77E3" w:rsidRDefault="006F77E3" w:rsidP="006F77E3">
      <w:pPr>
        <w:ind w:left="440"/>
      </w:pPr>
      <w:r w:rsidRPr="006F77E3">
        <w:rPr>
          <w:lang w:val="en-GB" w:eastAsia="en-GB"/>
        </w:rPr>
        <w:t>Figure 12: Trends in the expenditure on fuel, farm feeds, fertilisers, seeds and plants and farm services</w:t>
      </w:r>
      <w:r w:rsidRPr="006F77E3">
        <w:rPr>
          <w:lang w:val="en-GB"/>
        </w:rPr>
        <w:t xml:space="preserve"> between Q1 2015 and Q1 2017……………………………………………………………………………………..</w:t>
      </w:r>
      <w:r w:rsidRPr="006F77E3">
        <w:rPr>
          <w:webHidden/>
        </w:rPr>
        <w:fldChar w:fldCharType="begin"/>
      </w:r>
      <w:r w:rsidRPr="006F77E3">
        <w:rPr>
          <w:webHidden/>
        </w:rPr>
        <w:instrText xml:space="preserve"> PAGEREF _Toc489537714 \h </w:instrText>
      </w:r>
      <w:r w:rsidRPr="006F77E3">
        <w:rPr>
          <w:webHidden/>
        </w:rPr>
      </w:r>
      <w:r w:rsidRPr="006F77E3">
        <w:rPr>
          <w:webHidden/>
        </w:rPr>
        <w:fldChar w:fldCharType="separate"/>
      </w:r>
      <w:r w:rsidRPr="006F77E3">
        <w:rPr>
          <w:webHidden/>
        </w:rPr>
        <w:t>21</w:t>
      </w:r>
      <w:r w:rsidRPr="006F77E3">
        <w:rPr>
          <w:webHidden/>
        </w:rPr>
        <w:fldChar w:fldCharType="end"/>
      </w:r>
    </w:p>
    <w:p w:rsidR="00C5290F" w:rsidRPr="006F77E3" w:rsidRDefault="00C5290F" w:rsidP="006F77E3">
      <w:pPr>
        <w:ind w:firstLine="440"/>
      </w:pPr>
      <w:r w:rsidRPr="006F77E3">
        <w:rPr>
          <w:lang w:val="en-GB" w:eastAsia="en-US"/>
        </w:rPr>
        <w:t>Figure 13: Trends in nominal gross farm income between 2015 and 2017</w:t>
      </w:r>
      <w:r w:rsidR="006F77E3" w:rsidRPr="006F77E3">
        <w:rPr>
          <w:lang w:val="en-GB" w:eastAsia="en-US"/>
        </w:rPr>
        <w:t>……………………………………</w:t>
      </w:r>
      <w:proofErr w:type="gramStart"/>
      <w:r w:rsidR="006F77E3" w:rsidRPr="006F77E3">
        <w:rPr>
          <w:lang w:val="en-GB" w:eastAsia="en-US"/>
        </w:rPr>
        <w:t>.</w:t>
      </w:r>
      <w:proofErr w:type="gramEnd"/>
      <w:r w:rsidRPr="006F77E3">
        <w:rPr>
          <w:webHidden/>
        </w:rPr>
        <w:fldChar w:fldCharType="begin"/>
      </w:r>
      <w:r w:rsidRPr="006F77E3">
        <w:rPr>
          <w:webHidden/>
        </w:rPr>
        <w:instrText xml:space="preserve"> PAGEREF _Toc489537716 \h </w:instrText>
      </w:r>
      <w:r w:rsidRPr="006F77E3">
        <w:rPr>
          <w:webHidden/>
        </w:rPr>
      </w:r>
      <w:r w:rsidRPr="006F77E3">
        <w:rPr>
          <w:webHidden/>
        </w:rPr>
        <w:fldChar w:fldCharType="separate"/>
      </w:r>
      <w:r w:rsidRPr="006F77E3">
        <w:rPr>
          <w:webHidden/>
        </w:rPr>
        <w:t>22</w:t>
      </w:r>
      <w:r w:rsidRPr="006F77E3">
        <w:rPr>
          <w:webHidden/>
        </w:rPr>
        <w:fldChar w:fldCharType="end"/>
      </w:r>
    </w:p>
    <w:p w:rsidR="00C5290F" w:rsidRPr="006F77E3" w:rsidRDefault="002E6059" w:rsidP="001E59A4">
      <w:pPr>
        <w:pStyle w:val="TOC3"/>
        <w:rPr>
          <w:rFonts w:asciiTheme="minorHAnsi" w:hAnsiTheme="minorHAnsi"/>
          <w:sz w:val="22"/>
        </w:rPr>
      </w:pPr>
      <w:hyperlink w:anchor="_Toc489537718" w:history="1">
        <w:r w:rsidR="00C5290F" w:rsidRPr="006F77E3">
          <w:rPr>
            <w:rStyle w:val="Hyperlink"/>
            <w:color w:val="auto"/>
            <w:u w:val="none"/>
            <w:lang w:val="en-GB" w:eastAsia="en-US"/>
          </w:rPr>
          <w:t>Figure 14: Trends in the net farm income between 2015 and 2017.</w:t>
        </w:r>
        <w:r w:rsidR="00C5290F" w:rsidRPr="006F77E3">
          <w:rPr>
            <w:webHidden/>
          </w:rPr>
          <w:tab/>
        </w:r>
        <w:r w:rsidR="00C5290F" w:rsidRPr="006F77E3">
          <w:rPr>
            <w:webHidden/>
          </w:rPr>
          <w:fldChar w:fldCharType="begin"/>
        </w:r>
        <w:r w:rsidR="00C5290F" w:rsidRPr="006F77E3">
          <w:rPr>
            <w:webHidden/>
          </w:rPr>
          <w:instrText xml:space="preserve"> PAGEREF _Toc489537718 \h </w:instrText>
        </w:r>
        <w:r w:rsidR="00C5290F" w:rsidRPr="006F77E3">
          <w:rPr>
            <w:webHidden/>
          </w:rPr>
        </w:r>
        <w:r w:rsidR="00C5290F" w:rsidRPr="006F77E3">
          <w:rPr>
            <w:webHidden/>
          </w:rPr>
          <w:fldChar w:fldCharType="separate"/>
        </w:r>
        <w:r w:rsidR="00C5290F" w:rsidRPr="006F77E3">
          <w:rPr>
            <w:webHidden/>
          </w:rPr>
          <w:t>23</w:t>
        </w:r>
        <w:r w:rsidR="00C5290F" w:rsidRPr="006F77E3">
          <w:rPr>
            <w:webHidden/>
          </w:rPr>
          <w:fldChar w:fldCharType="end"/>
        </w:r>
      </w:hyperlink>
    </w:p>
    <w:p w:rsidR="00C5290F" w:rsidRPr="006F77E3" w:rsidRDefault="00C5290F" w:rsidP="006F77E3">
      <w:pPr>
        <w:ind w:firstLine="440"/>
      </w:pPr>
      <w:r w:rsidRPr="006F77E3">
        <w:rPr>
          <w:lang w:val="en-GB" w:eastAsia="en-US"/>
        </w:rPr>
        <w:t>Figure 15: Trends in private consumption expenditure between 2015 and 2017</w:t>
      </w:r>
      <w:r w:rsidR="006F77E3" w:rsidRPr="006F77E3">
        <w:rPr>
          <w:lang w:val="en-GB" w:eastAsia="en-US"/>
        </w:rPr>
        <w:t>……………………………...</w:t>
      </w:r>
      <w:r w:rsidRPr="006F77E3">
        <w:rPr>
          <w:webHidden/>
        </w:rPr>
        <w:fldChar w:fldCharType="begin"/>
      </w:r>
      <w:r w:rsidRPr="006F77E3">
        <w:rPr>
          <w:webHidden/>
        </w:rPr>
        <w:instrText xml:space="preserve"> PAGEREF _Toc489537720 \h </w:instrText>
      </w:r>
      <w:r w:rsidRPr="006F77E3">
        <w:rPr>
          <w:webHidden/>
        </w:rPr>
      </w:r>
      <w:r w:rsidRPr="006F77E3">
        <w:rPr>
          <w:webHidden/>
        </w:rPr>
        <w:fldChar w:fldCharType="separate"/>
      </w:r>
      <w:r w:rsidRPr="006F77E3">
        <w:rPr>
          <w:webHidden/>
        </w:rPr>
        <w:t>23</w:t>
      </w:r>
      <w:r w:rsidRPr="006F77E3">
        <w:rPr>
          <w:webHidden/>
        </w:rPr>
        <w:fldChar w:fldCharType="end"/>
      </w:r>
    </w:p>
    <w:p w:rsidR="00C5290F" w:rsidRPr="006F77E3" w:rsidRDefault="002E6059" w:rsidP="001E59A4">
      <w:pPr>
        <w:pStyle w:val="TOC3"/>
        <w:rPr>
          <w:rFonts w:asciiTheme="minorHAnsi" w:hAnsiTheme="minorHAnsi"/>
          <w:sz w:val="22"/>
        </w:rPr>
      </w:pPr>
      <w:hyperlink w:anchor="_Toc489537724" w:history="1">
        <w:r w:rsidR="00C5290F" w:rsidRPr="006F77E3">
          <w:rPr>
            <w:rStyle w:val="Hyperlink"/>
            <w:color w:val="auto"/>
            <w:u w:val="none"/>
          </w:rPr>
          <w:t>Figure 16: White maize price</w:t>
        </w:r>
        <w:r w:rsidR="00C5290F" w:rsidRPr="006F77E3">
          <w:rPr>
            <w:webHidden/>
          </w:rPr>
          <w:tab/>
        </w:r>
        <w:r w:rsidR="00C5290F" w:rsidRPr="006F77E3">
          <w:rPr>
            <w:webHidden/>
          </w:rPr>
          <w:fldChar w:fldCharType="begin"/>
        </w:r>
        <w:r w:rsidR="00C5290F" w:rsidRPr="006F77E3">
          <w:rPr>
            <w:webHidden/>
          </w:rPr>
          <w:instrText xml:space="preserve"> PAGEREF _Toc489537724 \h </w:instrText>
        </w:r>
        <w:r w:rsidR="00C5290F" w:rsidRPr="006F77E3">
          <w:rPr>
            <w:webHidden/>
          </w:rPr>
        </w:r>
        <w:r w:rsidR="00C5290F" w:rsidRPr="006F77E3">
          <w:rPr>
            <w:webHidden/>
          </w:rPr>
          <w:fldChar w:fldCharType="separate"/>
        </w:r>
        <w:r w:rsidR="00C5290F" w:rsidRPr="006F77E3">
          <w:rPr>
            <w:webHidden/>
          </w:rPr>
          <w:t>24</w:t>
        </w:r>
        <w:r w:rsidR="00C5290F" w:rsidRPr="006F77E3">
          <w:rPr>
            <w:webHidden/>
          </w:rPr>
          <w:fldChar w:fldCharType="end"/>
        </w:r>
      </w:hyperlink>
    </w:p>
    <w:p w:rsidR="00C5290F" w:rsidRPr="006F77E3" w:rsidRDefault="00C5290F" w:rsidP="006F77E3">
      <w:pPr>
        <w:ind w:firstLine="440"/>
      </w:pPr>
      <w:r w:rsidRPr="006F77E3">
        <w:t>Figure 18: Supply and demand of white maize</w:t>
      </w:r>
      <w:r w:rsidR="006F77E3">
        <w:t>…………………………………………………………………</w:t>
      </w:r>
      <w:r w:rsidR="001E59A4">
        <w:t>…</w:t>
      </w:r>
      <w:r w:rsidRPr="006F77E3">
        <w:rPr>
          <w:webHidden/>
        </w:rPr>
        <w:fldChar w:fldCharType="begin"/>
      </w:r>
      <w:r w:rsidRPr="006F77E3">
        <w:rPr>
          <w:webHidden/>
        </w:rPr>
        <w:instrText xml:space="preserve"> PAGEREF _Toc489537725 \h </w:instrText>
      </w:r>
      <w:r w:rsidRPr="006F77E3">
        <w:rPr>
          <w:webHidden/>
        </w:rPr>
      </w:r>
      <w:r w:rsidRPr="006F77E3">
        <w:rPr>
          <w:webHidden/>
        </w:rPr>
        <w:fldChar w:fldCharType="separate"/>
      </w:r>
      <w:r w:rsidRPr="006F77E3">
        <w:rPr>
          <w:webHidden/>
        </w:rPr>
        <w:t>26</w:t>
      </w:r>
      <w:r w:rsidRPr="006F77E3">
        <w:rPr>
          <w:webHidden/>
        </w:rPr>
        <w:fldChar w:fldCharType="end"/>
      </w:r>
    </w:p>
    <w:p w:rsidR="00C5290F" w:rsidRPr="006F77E3" w:rsidRDefault="002E6059" w:rsidP="001E59A4">
      <w:pPr>
        <w:pStyle w:val="TOC3"/>
        <w:rPr>
          <w:rFonts w:asciiTheme="minorHAnsi" w:hAnsiTheme="minorHAnsi"/>
          <w:sz w:val="22"/>
        </w:rPr>
      </w:pPr>
      <w:hyperlink w:anchor="_Toc489537726" w:history="1">
        <w:r w:rsidR="00C5290F" w:rsidRPr="006F77E3">
          <w:rPr>
            <w:rStyle w:val="Hyperlink"/>
            <w:color w:val="auto"/>
            <w:u w:val="none"/>
          </w:rPr>
          <w:t>Figure 19: Supply and demand of yellow maize</w:t>
        </w:r>
        <w:r w:rsidR="00C5290F" w:rsidRPr="006F77E3">
          <w:rPr>
            <w:webHidden/>
          </w:rPr>
          <w:tab/>
        </w:r>
        <w:r w:rsidR="00C5290F" w:rsidRPr="006F77E3">
          <w:rPr>
            <w:webHidden/>
          </w:rPr>
          <w:fldChar w:fldCharType="begin"/>
        </w:r>
        <w:r w:rsidR="00C5290F" w:rsidRPr="006F77E3">
          <w:rPr>
            <w:webHidden/>
          </w:rPr>
          <w:instrText xml:space="preserve"> PAGEREF _Toc489537726 \h </w:instrText>
        </w:r>
        <w:r w:rsidR="00C5290F" w:rsidRPr="006F77E3">
          <w:rPr>
            <w:webHidden/>
          </w:rPr>
        </w:r>
        <w:r w:rsidR="00C5290F" w:rsidRPr="006F77E3">
          <w:rPr>
            <w:webHidden/>
          </w:rPr>
          <w:fldChar w:fldCharType="separate"/>
        </w:r>
        <w:r w:rsidR="00C5290F" w:rsidRPr="006F77E3">
          <w:rPr>
            <w:webHidden/>
          </w:rPr>
          <w:t>27</w:t>
        </w:r>
        <w:r w:rsidR="00C5290F" w:rsidRPr="006F77E3">
          <w:rPr>
            <w:webHidden/>
          </w:rPr>
          <w:fldChar w:fldCharType="end"/>
        </w:r>
      </w:hyperlink>
    </w:p>
    <w:p w:rsidR="00C5290F" w:rsidRPr="006F77E3" w:rsidRDefault="002E6059" w:rsidP="001E59A4">
      <w:pPr>
        <w:pStyle w:val="TOC3"/>
        <w:rPr>
          <w:rFonts w:asciiTheme="minorHAnsi" w:hAnsiTheme="minorHAnsi"/>
          <w:sz w:val="22"/>
        </w:rPr>
      </w:pPr>
      <w:hyperlink w:anchor="_Toc489537728" w:history="1">
        <w:r w:rsidR="00C5290F" w:rsidRPr="006F77E3">
          <w:rPr>
            <w:rStyle w:val="Hyperlink"/>
            <w:rFonts w:eastAsia="Calibri"/>
            <w:color w:val="auto"/>
            <w:u w:val="none"/>
          </w:rPr>
          <w:t>Figure 21: Retail bread price vs wheat import price</w:t>
        </w:r>
        <w:r w:rsidR="00C5290F" w:rsidRPr="006F77E3">
          <w:rPr>
            <w:webHidden/>
          </w:rPr>
          <w:tab/>
        </w:r>
        <w:r w:rsidR="00C5290F" w:rsidRPr="006F77E3">
          <w:rPr>
            <w:webHidden/>
          </w:rPr>
          <w:fldChar w:fldCharType="begin"/>
        </w:r>
        <w:r w:rsidR="00C5290F" w:rsidRPr="006F77E3">
          <w:rPr>
            <w:webHidden/>
          </w:rPr>
          <w:instrText xml:space="preserve"> PAGEREF _Toc489537728 \h </w:instrText>
        </w:r>
        <w:r w:rsidR="00C5290F" w:rsidRPr="006F77E3">
          <w:rPr>
            <w:webHidden/>
          </w:rPr>
        </w:r>
        <w:r w:rsidR="00C5290F" w:rsidRPr="006F77E3">
          <w:rPr>
            <w:webHidden/>
          </w:rPr>
          <w:fldChar w:fldCharType="separate"/>
        </w:r>
        <w:r w:rsidR="00C5290F" w:rsidRPr="006F77E3">
          <w:rPr>
            <w:webHidden/>
          </w:rPr>
          <w:t>29</w:t>
        </w:r>
        <w:r w:rsidR="00C5290F" w:rsidRPr="006F77E3">
          <w:rPr>
            <w:webHidden/>
          </w:rPr>
          <w:fldChar w:fldCharType="end"/>
        </w:r>
      </w:hyperlink>
    </w:p>
    <w:p w:rsidR="00C5290F" w:rsidRPr="006F77E3" w:rsidRDefault="002E6059" w:rsidP="001E59A4">
      <w:pPr>
        <w:pStyle w:val="TOC3"/>
        <w:rPr>
          <w:rFonts w:asciiTheme="minorHAnsi" w:hAnsiTheme="minorHAnsi"/>
          <w:sz w:val="22"/>
        </w:rPr>
      </w:pPr>
      <w:hyperlink w:anchor="_Toc489537729" w:history="1">
        <w:r w:rsidR="00C5290F" w:rsidRPr="006F77E3">
          <w:rPr>
            <w:rStyle w:val="Hyperlink"/>
            <w:rFonts w:eastAsia="Calibri"/>
            <w:color w:val="auto"/>
            <w:u w:val="none"/>
          </w:rPr>
          <w:t>Figure 22: Wheat deliveries, Imports, Exports and local demand</w:t>
        </w:r>
        <w:r w:rsidR="00C5290F" w:rsidRPr="006F77E3">
          <w:rPr>
            <w:webHidden/>
          </w:rPr>
          <w:tab/>
        </w:r>
        <w:r w:rsidR="00C5290F" w:rsidRPr="006F77E3">
          <w:rPr>
            <w:webHidden/>
          </w:rPr>
          <w:fldChar w:fldCharType="begin"/>
        </w:r>
        <w:r w:rsidR="00C5290F" w:rsidRPr="006F77E3">
          <w:rPr>
            <w:webHidden/>
          </w:rPr>
          <w:instrText xml:space="preserve"> PAGEREF _Toc489537729 \h </w:instrText>
        </w:r>
        <w:r w:rsidR="00C5290F" w:rsidRPr="006F77E3">
          <w:rPr>
            <w:webHidden/>
          </w:rPr>
        </w:r>
        <w:r w:rsidR="00C5290F" w:rsidRPr="006F77E3">
          <w:rPr>
            <w:webHidden/>
          </w:rPr>
          <w:fldChar w:fldCharType="separate"/>
        </w:r>
        <w:r w:rsidR="00C5290F" w:rsidRPr="006F77E3">
          <w:rPr>
            <w:webHidden/>
          </w:rPr>
          <w:t>29</w:t>
        </w:r>
        <w:r w:rsidR="00C5290F" w:rsidRPr="006F77E3">
          <w:rPr>
            <w:webHidden/>
          </w:rPr>
          <w:fldChar w:fldCharType="end"/>
        </w:r>
      </w:hyperlink>
    </w:p>
    <w:p w:rsidR="00C5290F" w:rsidRPr="006F77E3" w:rsidRDefault="002E6059" w:rsidP="001E59A4">
      <w:pPr>
        <w:pStyle w:val="TOC3"/>
        <w:rPr>
          <w:rStyle w:val="Hyperlink"/>
          <w:color w:val="auto"/>
          <w:u w:val="none"/>
        </w:rPr>
      </w:pPr>
      <w:hyperlink w:anchor="_Toc489537731" w:history="1">
        <w:r w:rsidR="00C5290F" w:rsidRPr="006F77E3">
          <w:rPr>
            <w:rStyle w:val="Hyperlink"/>
            <w:color w:val="auto"/>
            <w:u w:val="none"/>
          </w:rPr>
          <w:t>Figure 23: Soybeans local price vs Import Price</w:t>
        </w:r>
        <w:r w:rsidR="00C5290F" w:rsidRPr="006F77E3">
          <w:rPr>
            <w:webHidden/>
          </w:rPr>
          <w:tab/>
        </w:r>
        <w:r w:rsidR="00C5290F" w:rsidRPr="006F77E3">
          <w:rPr>
            <w:webHidden/>
          </w:rPr>
          <w:fldChar w:fldCharType="begin"/>
        </w:r>
        <w:r w:rsidR="00C5290F" w:rsidRPr="006F77E3">
          <w:rPr>
            <w:webHidden/>
          </w:rPr>
          <w:instrText xml:space="preserve"> PAGEREF _Toc489537731 \h </w:instrText>
        </w:r>
        <w:r w:rsidR="00C5290F" w:rsidRPr="006F77E3">
          <w:rPr>
            <w:webHidden/>
          </w:rPr>
        </w:r>
        <w:r w:rsidR="00C5290F" w:rsidRPr="006F77E3">
          <w:rPr>
            <w:webHidden/>
          </w:rPr>
          <w:fldChar w:fldCharType="separate"/>
        </w:r>
        <w:r w:rsidR="00C5290F" w:rsidRPr="006F77E3">
          <w:rPr>
            <w:webHidden/>
          </w:rPr>
          <w:t>31</w:t>
        </w:r>
        <w:r w:rsidR="00C5290F" w:rsidRPr="006F77E3">
          <w:rPr>
            <w:webHidden/>
          </w:rPr>
          <w:fldChar w:fldCharType="end"/>
        </w:r>
      </w:hyperlink>
    </w:p>
    <w:p w:rsidR="001E59A4" w:rsidRPr="006F77E3" w:rsidRDefault="001E59A4" w:rsidP="001E59A4">
      <w:pPr>
        <w:ind w:firstLine="440"/>
        <w:rPr>
          <w:webHidden/>
        </w:rPr>
      </w:pPr>
      <w:r w:rsidRPr="006F77E3">
        <w:t>Figure 24</w:t>
      </w:r>
      <w:proofErr w:type="gramStart"/>
      <w:r w:rsidRPr="006F77E3">
        <w:t>:Sunflower</w:t>
      </w:r>
      <w:proofErr w:type="gramEnd"/>
      <w:r w:rsidRPr="006F77E3">
        <w:t xml:space="preserve"> local seed; import price (Randfontein) and Sunflower retail price</w:t>
      </w:r>
      <w:r>
        <w:t>………………………</w:t>
      </w:r>
      <w:r w:rsidRPr="006F77E3">
        <w:rPr>
          <w:webHidden/>
        </w:rPr>
        <w:fldChar w:fldCharType="begin"/>
      </w:r>
      <w:r w:rsidRPr="006F77E3">
        <w:rPr>
          <w:webHidden/>
        </w:rPr>
        <w:instrText xml:space="preserve"> PAGEREF _Toc489537733 \h </w:instrText>
      </w:r>
      <w:r w:rsidRPr="006F77E3">
        <w:rPr>
          <w:webHidden/>
        </w:rPr>
      </w:r>
      <w:r w:rsidRPr="006F77E3">
        <w:rPr>
          <w:webHidden/>
        </w:rPr>
        <w:fldChar w:fldCharType="separate"/>
      </w:r>
      <w:r w:rsidRPr="006F77E3">
        <w:rPr>
          <w:webHidden/>
        </w:rPr>
        <w:t>32</w:t>
      </w:r>
      <w:r w:rsidRPr="006F77E3">
        <w:rPr>
          <w:webHidden/>
        </w:rPr>
        <w:fldChar w:fldCharType="end"/>
      </w:r>
    </w:p>
    <w:p w:rsidR="001E59A4" w:rsidRPr="006F77E3" w:rsidRDefault="001E59A4" w:rsidP="001E59A4">
      <w:pPr>
        <w:ind w:firstLine="440"/>
      </w:pPr>
      <w:r w:rsidRPr="006F77E3">
        <w:t>Figure 25: Sunflower seed deliveries; local demand and trade</w:t>
      </w:r>
      <w:r>
        <w:rPr>
          <w:webHidden/>
        </w:rPr>
        <w:t>…………………………………………………</w:t>
      </w:r>
      <w:proofErr w:type="gramStart"/>
      <w:r>
        <w:rPr>
          <w:webHidden/>
        </w:rPr>
        <w:t>.</w:t>
      </w:r>
      <w:proofErr w:type="gramEnd"/>
      <w:r w:rsidRPr="006F77E3">
        <w:rPr>
          <w:webHidden/>
        </w:rPr>
        <w:fldChar w:fldCharType="begin"/>
      </w:r>
      <w:r w:rsidRPr="006F77E3">
        <w:rPr>
          <w:webHidden/>
        </w:rPr>
        <w:instrText xml:space="preserve"> PAGEREF _Toc489537734 \h </w:instrText>
      </w:r>
      <w:r w:rsidRPr="006F77E3">
        <w:rPr>
          <w:webHidden/>
        </w:rPr>
      </w:r>
      <w:r w:rsidRPr="006F77E3">
        <w:rPr>
          <w:webHidden/>
        </w:rPr>
        <w:fldChar w:fldCharType="separate"/>
      </w:r>
      <w:r w:rsidRPr="006F77E3">
        <w:rPr>
          <w:webHidden/>
        </w:rPr>
        <w:t>33</w:t>
      </w:r>
      <w:r w:rsidRPr="006F77E3">
        <w:rPr>
          <w:webHidden/>
        </w:rPr>
        <w:fldChar w:fldCharType="end"/>
      </w:r>
    </w:p>
    <w:p w:rsidR="001E59A4" w:rsidRPr="006F77E3" w:rsidRDefault="002E6059" w:rsidP="001E59A4">
      <w:pPr>
        <w:pStyle w:val="TOC3"/>
        <w:rPr>
          <w:rFonts w:asciiTheme="minorHAnsi" w:hAnsiTheme="minorHAnsi"/>
          <w:sz w:val="22"/>
        </w:rPr>
      </w:pPr>
      <w:hyperlink w:anchor="_Toc489537736" w:history="1">
        <w:r w:rsidR="001E59A4" w:rsidRPr="006F77E3">
          <w:rPr>
            <w:rStyle w:val="Hyperlink"/>
            <w:color w:val="auto"/>
            <w:u w:val="none"/>
          </w:rPr>
          <w:t>Figure 26: Sorghum Parity Price</w:t>
        </w:r>
        <w:r w:rsidR="001E59A4" w:rsidRPr="006F77E3">
          <w:rPr>
            <w:webHidden/>
          </w:rPr>
          <w:tab/>
        </w:r>
        <w:r w:rsidR="001E59A4" w:rsidRPr="006F77E3">
          <w:rPr>
            <w:webHidden/>
          </w:rPr>
          <w:fldChar w:fldCharType="begin"/>
        </w:r>
        <w:r w:rsidR="001E59A4" w:rsidRPr="006F77E3">
          <w:rPr>
            <w:webHidden/>
          </w:rPr>
          <w:instrText xml:space="preserve"> PAGEREF _Toc489537736 \h </w:instrText>
        </w:r>
        <w:r w:rsidR="001E59A4" w:rsidRPr="006F77E3">
          <w:rPr>
            <w:webHidden/>
          </w:rPr>
        </w:r>
        <w:r w:rsidR="001E59A4" w:rsidRPr="006F77E3">
          <w:rPr>
            <w:webHidden/>
          </w:rPr>
          <w:fldChar w:fldCharType="separate"/>
        </w:r>
        <w:r w:rsidR="001E59A4" w:rsidRPr="006F77E3">
          <w:rPr>
            <w:webHidden/>
          </w:rPr>
          <w:t>33</w:t>
        </w:r>
        <w:r w:rsidR="001E59A4" w:rsidRPr="006F77E3">
          <w:rPr>
            <w:webHidden/>
          </w:rPr>
          <w:fldChar w:fldCharType="end"/>
        </w:r>
      </w:hyperlink>
    </w:p>
    <w:p w:rsidR="00C5290F" w:rsidRPr="006F77E3" w:rsidRDefault="00C5290F" w:rsidP="006F77E3">
      <w:pPr>
        <w:ind w:firstLine="440"/>
      </w:pPr>
      <w:r w:rsidRPr="006F77E3">
        <w:rPr>
          <w:lang w:val="en-GB" w:eastAsia="en-US"/>
        </w:rPr>
        <w:t>Figure 27: Supply and demand of Groundnuts</w:t>
      </w:r>
      <w:r w:rsidR="001E59A4">
        <w:rPr>
          <w:lang w:val="en-GB" w:eastAsia="en-US"/>
        </w:rPr>
        <w:t>……………………………………………………………………</w:t>
      </w:r>
      <w:proofErr w:type="gramStart"/>
      <w:r w:rsidR="001E59A4">
        <w:rPr>
          <w:lang w:val="en-GB" w:eastAsia="en-US"/>
        </w:rPr>
        <w:t>.</w:t>
      </w:r>
      <w:proofErr w:type="gramEnd"/>
      <w:r w:rsidRPr="006F77E3">
        <w:rPr>
          <w:webHidden/>
        </w:rPr>
        <w:fldChar w:fldCharType="begin"/>
      </w:r>
      <w:r w:rsidRPr="006F77E3">
        <w:rPr>
          <w:webHidden/>
        </w:rPr>
        <w:instrText xml:space="preserve"> PAGEREF _Toc489537740 \h </w:instrText>
      </w:r>
      <w:r w:rsidRPr="006F77E3">
        <w:rPr>
          <w:webHidden/>
        </w:rPr>
      </w:r>
      <w:r w:rsidRPr="006F77E3">
        <w:rPr>
          <w:webHidden/>
        </w:rPr>
        <w:fldChar w:fldCharType="separate"/>
      </w:r>
      <w:r w:rsidRPr="006F77E3">
        <w:rPr>
          <w:webHidden/>
        </w:rPr>
        <w:t>35</w:t>
      </w:r>
      <w:r w:rsidRPr="006F77E3">
        <w:rPr>
          <w:webHidden/>
        </w:rPr>
        <w:fldChar w:fldCharType="end"/>
      </w:r>
    </w:p>
    <w:p w:rsidR="006F77E3" w:rsidRPr="006F77E3" w:rsidRDefault="002E6059" w:rsidP="001E59A4">
      <w:pPr>
        <w:pStyle w:val="TOC3"/>
        <w:rPr>
          <w:rStyle w:val="Hyperlink"/>
          <w:color w:val="auto"/>
          <w:u w:val="none"/>
        </w:rPr>
      </w:pPr>
      <w:hyperlink w:anchor="_Toc489537743" w:history="1">
        <w:r w:rsidR="006F77E3" w:rsidRPr="006F77E3">
          <w:rPr>
            <w:rStyle w:val="Hyperlink"/>
            <w:color w:val="auto"/>
            <w:u w:val="none"/>
            <w:lang w:val="en-GB" w:eastAsia="en-US"/>
          </w:rPr>
          <w:t>Figure 28: Groundnuts exports and imports</w:t>
        </w:r>
        <w:r w:rsidR="006F77E3" w:rsidRPr="006F77E3">
          <w:rPr>
            <w:webHidden/>
          </w:rPr>
          <w:tab/>
        </w:r>
        <w:r w:rsidR="006F77E3" w:rsidRPr="006F77E3">
          <w:rPr>
            <w:webHidden/>
          </w:rPr>
          <w:fldChar w:fldCharType="begin"/>
        </w:r>
        <w:r w:rsidR="006F77E3" w:rsidRPr="006F77E3">
          <w:rPr>
            <w:webHidden/>
          </w:rPr>
          <w:instrText xml:space="preserve"> PAGEREF _Toc489537743 \h </w:instrText>
        </w:r>
        <w:r w:rsidR="006F77E3" w:rsidRPr="006F77E3">
          <w:rPr>
            <w:webHidden/>
          </w:rPr>
        </w:r>
        <w:r w:rsidR="006F77E3" w:rsidRPr="006F77E3">
          <w:rPr>
            <w:webHidden/>
          </w:rPr>
          <w:fldChar w:fldCharType="separate"/>
        </w:r>
        <w:r w:rsidR="006F77E3" w:rsidRPr="006F77E3">
          <w:rPr>
            <w:webHidden/>
          </w:rPr>
          <w:t>35</w:t>
        </w:r>
        <w:r w:rsidR="006F77E3" w:rsidRPr="006F77E3">
          <w:rPr>
            <w:webHidden/>
          </w:rPr>
          <w:fldChar w:fldCharType="end"/>
        </w:r>
      </w:hyperlink>
    </w:p>
    <w:p w:rsidR="006F77E3" w:rsidRPr="006F77E3" w:rsidRDefault="002E6059" w:rsidP="001E59A4">
      <w:pPr>
        <w:pStyle w:val="TOC3"/>
        <w:rPr>
          <w:rStyle w:val="Hyperlink"/>
          <w:color w:val="auto"/>
          <w:u w:val="none"/>
        </w:rPr>
      </w:pPr>
      <w:hyperlink w:anchor="_Toc489537745" w:history="1">
        <w:r w:rsidR="006F77E3" w:rsidRPr="006F77E3">
          <w:rPr>
            <w:rStyle w:val="Hyperlink"/>
            <w:color w:val="auto"/>
            <w:u w:val="none"/>
            <w:lang w:val="en-GB" w:eastAsia="en-US"/>
          </w:rPr>
          <w:t>Figure 29: Groundnuts consumption</w:t>
        </w:r>
        <w:r w:rsidR="006F77E3" w:rsidRPr="006F77E3">
          <w:rPr>
            <w:webHidden/>
          </w:rPr>
          <w:tab/>
        </w:r>
        <w:r w:rsidR="006F77E3" w:rsidRPr="006F77E3">
          <w:rPr>
            <w:webHidden/>
          </w:rPr>
          <w:fldChar w:fldCharType="begin"/>
        </w:r>
        <w:r w:rsidR="006F77E3" w:rsidRPr="006F77E3">
          <w:rPr>
            <w:webHidden/>
          </w:rPr>
          <w:instrText xml:space="preserve"> PAGEREF _Toc489537745 \h </w:instrText>
        </w:r>
        <w:r w:rsidR="006F77E3" w:rsidRPr="006F77E3">
          <w:rPr>
            <w:webHidden/>
          </w:rPr>
        </w:r>
        <w:r w:rsidR="006F77E3" w:rsidRPr="006F77E3">
          <w:rPr>
            <w:webHidden/>
          </w:rPr>
          <w:fldChar w:fldCharType="separate"/>
        </w:r>
        <w:r w:rsidR="006F77E3" w:rsidRPr="006F77E3">
          <w:rPr>
            <w:webHidden/>
          </w:rPr>
          <w:t>36</w:t>
        </w:r>
        <w:r w:rsidR="006F77E3" w:rsidRPr="006F77E3">
          <w:rPr>
            <w:webHidden/>
          </w:rPr>
          <w:fldChar w:fldCharType="end"/>
        </w:r>
      </w:hyperlink>
    </w:p>
    <w:p w:rsidR="006F77E3" w:rsidRPr="006F77E3" w:rsidRDefault="002E6059" w:rsidP="001E59A4">
      <w:pPr>
        <w:pStyle w:val="TOC3"/>
        <w:rPr>
          <w:rStyle w:val="Hyperlink"/>
          <w:color w:val="auto"/>
          <w:u w:val="none"/>
        </w:rPr>
      </w:pPr>
      <w:hyperlink w:anchor="_Toc489537748" w:history="1">
        <w:r w:rsidR="006F77E3" w:rsidRPr="006F77E3">
          <w:rPr>
            <w:rStyle w:val="Hyperlink"/>
            <w:color w:val="auto"/>
            <w:u w:val="none"/>
          </w:rPr>
          <w:t>Figure 30: Oilseed products</w:t>
        </w:r>
        <w:r w:rsidR="006F77E3" w:rsidRPr="006F77E3">
          <w:rPr>
            <w:webHidden/>
          </w:rPr>
          <w:tab/>
        </w:r>
        <w:r w:rsidR="006F77E3" w:rsidRPr="006F77E3">
          <w:rPr>
            <w:webHidden/>
          </w:rPr>
          <w:fldChar w:fldCharType="begin"/>
        </w:r>
        <w:r w:rsidR="006F77E3" w:rsidRPr="006F77E3">
          <w:rPr>
            <w:webHidden/>
          </w:rPr>
          <w:instrText xml:space="preserve"> PAGEREF _Toc489537748 \h </w:instrText>
        </w:r>
        <w:r w:rsidR="006F77E3" w:rsidRPr="006F77E3">
          <w:rPr>
            <w:webHidden/>
          </w:rPr>
        </w:r>
        <w:r w:rsidR="006F77E3" w:rsidRPr="006F77E3">
          <w:rPr>
            <w:webHidden/>
          </w:rPr>
          <w:fldChar w:fldCharType="separate"/>
        </w:r>
        <w:r w:rsidR="006F77E3" w:rsidRPr="006F77E3">
          <w:rPr>
            <w:webHidden/>
          </w:rPr>
          <w:t>37</w:t>
        </w:r>
        <w:r w:rsidR="006F77E3" w:rsidRPr="006F77E3">
          <w:rPr>
            <w:webHidden/>
          </w:rPr>
          <w:fldChar w:fldCharType="end"/>
        </w:r>
      </w:hyperlink>
    </w:p>
    <w:p w:rsidR="006F77E3" w:rsidRPr="006F77E3" w:rsidRDefault="002E6059" w:rsidP="001E59A4">
      <w:pPr>
        <w:pStyle w:val="TOC3"/>
        <w:rPr>
          <w:rStyle w:val="Hyperlink"/>
          <w:color w:val="auto"/>
          <w:u w:val="none"/>
        </w:rPr>
      </w:pPr>
      <w:hyperlink w:anchor="_Toc489537740" w:history="1"/>
      <w:hyperlink w:anchor="_Toc489537750" w:history="1">
        <w:r w:rsidR="006F77E3" w:rsidRPr="006F77E3">
          <w:rPr>
            <w:rStyle w:val="Hyperlink"/>
            <w:color w:val="auto"/>
            <w:u w:val="none"/>
            <w:lang w:val="en-GB"/>
          </w:rPr>
          <w:t>Figure 31: Groundnuts exports and imports</w:t>
        </w:r>
        <w:r w:rsidR="006F77E3" w:rsidRPr="006F77E3">
          <w:rPr>
            <w:webHidden/>
          </w:rPr>
          <w:tab/>
        </w:r>
        <w:r w:rsidR="006F77E3" w:rsidRPr="006F77E3">
          <w:rPr>
            <w:webHidden/>
          </w:rPr>
          <w:fldChar w:fldCharType="begin"/>
        </w:r>
        <w:r w:rsidR="006F77E3" w:rsidRPr="006F77E3">
          <w:rPr>
            <w:webHidden/>
          </w:rPr>
          <w:instrText xml:space="preserve"> PAGEREF _Toc489537750 \h </w:instrText>
        </w:r>
        <w:r w:rsidR="006F77E3" w:rsidRPr="006F77E3">
          <w:rPr>
            <w:webHidden/>
          </w:rPr>
        </w:r>
        <w:r w:rsidR="006F77E3" w:rsidRPr="006F77E3">
          <w:rPr>
            <w:webHidden/>
          </w:rPr>
          <w:fldChar w:fldCharType="separate"/>
        </w:r>
        <w:r w:rsidR="006F77E3" w:rsidRPr="006F77E3">
          <w:rPr>
            <w:webHidden/>
          </w:rPr>
          <w:t>38</w:t>
        </w:r>
        <w:r w:rsidR="006F77E3" w:rsidRPr="006F77E3">
          <w:rPr>
            <w:webHidden/>
          </w:rPr>
          <w:fldChar w:fldCharType="end"/>
        </w:r>
      </w:hyperlink>
    </w:p>
    <w:p w:rsidR="006F77E3" w:rsidRPr="006F77E3" w:rsidRDefault="002E6059" w:rsidP="001E59A4">
      <w:pPr>
        <w:pStyle w:val="TOC3"/>
        <w:rPr>
          <w:rFonts w:asciiTheme="minorHAnsi" w:hAnsiTheme="minorHAnsi"/>
          <w:sz w:val="22"/>
        </w:rPr>
      </w:pPr>
      <w:hyperlink w:anchor="_Toc489537753" w:history="1">
        <w:r w:rsidR="006F77E3" w:rsidRPr="006F77E3">
          <w:rPr>
            <w:rStyle w:val="Hyperlink"/>
            <w:rFonts w:eastAsia="Calibri"/>
            <w:color w:val="auto"/>
            <w:u w:val="none"/>
            <w:lang w:val="en-US" w:eastAsia="en-US"/>
          </w:rPr>
          <w:t>Figure 33: drybean hectares planted in the RSA</w:t>
        </w:r>
        <w:r w:rsidR="006F77E3" w:rsidRPr="006F77E3">
          <w:rPr>
            <w:webHidden/>
          </w:rPr>
          <w:tab/>
        </w:r>
        <w:r w:rsidR="006F77E3" w:rsidRPr="006F77E3">
          <w:rPr>
            <w:webHidden/>
          </w:rPr>
          <w:fldChar w:fldCharType="begin"/>
        </w:r>
        <w:r w:rsidR="006F77E3" w:rsidRPr="006F77E3">
          <w:rPr>
            <w:webHidden/>
          </w:rPr>
          <w:instrText xml:space="preserve"> PAGEREF _Toc489537753 \h </w:instrText>
        </w:r>
        <w:r w:rsidR="006F77E3" w:rsidRPr="006F77E3">
          <w:rPr>
            <w:webHidden/>
          </w:rPr>
        </w:r>
        <w:r w:rsidR="006F77E3" w:rsidRPr="006F77E3">
          <w:rPr>
            <w:webHidden/>
          </w:rPr>
          <w:fldChar w:fldCharType="separate"/>
        </w:r>
        <w:r w:rsidR="006F77E3" w:rsidRPr="006F77E3">
          <w:rPr>
            <w:webHidden/>
          </w:rPr>
          <w:t>40</w:t>
        </w:r>
        <w:r w:rsidR="006F77E3" w:rsidRPr="006F77E3">
          <w:rPr>
            <w:webHidden/>
          </w:rPr>
          <w:fldChar w:fldCharType="end"/>
        </w:r>
      </w:hyperlink>
    </w:p>
    <w:p w:rsidR="006F77E3" w:rsidRPr="006F77E3" w:rsidRDefault="002E6059" w:rsidP="001E59A4">
      <w:pPr>
        <w:pStyle w:val="TOC3"/>
        <w:rPr>
          <w:rFonts w:asciiTheme="minorHAnsi" w:hAnsiTheme="minorHAnsi"/>
          <w:sz w:val="22"/>
        </w:rPr>
      </w:pPr>
      <w:hyperlink w:anchor="_Toc489537752" w:history="1">
        <w:r w:rsidR="006F77E3" w:rsidRPr="006F77E3">
          <w:rPr>
            <w:rStyle w:val="Hyperlink"/>
            <w:rFonts w:eastAsia="Calibri"/>
            <w:color w:val="auto"/>
            <w:u w:val="none"/>
            <w:lang w:val="en-US" w:eastAsia="en-US"/>
          </w:rPr>
          <w:t>Figure 32: Supply of dry beans</w:t>
        </w:r>
        <w:r w:rsidR="006F77E3" w:rsidRPr="006F77E3">
          <w:rPr>
            <w:webHidden/>
          </w:rPr>
          <w:tab/>
        </w:r>
        <w:r w:rsidR="006F77E3" w:rsidRPr="006F77E3">
          <w:rPr>
            <w:webHidden/>
          </w:rPr>
          <w:fldChar w:fldCharType="begin"/>
        </w:r>
        <w:r w:rsidR="006F77E3" w:rsidRPr="006F77E3">
          <w:rPr>
            <w:webHidden/>
          </w:rPr>
          <w:instrText xml:space="preserve"> PAGEREF _Toc489537752 \h </w:instrText>
        </w:r>
        <w:r w:rsidR="006F77E3" w:rsidRPr="006F77E3">
          <w:rPr>
            <w:webHidden/>
          </w:rPr>
        </w:r>
        <w:r w:rsidR="006F77E3" w:rsidRPr="006F77E3">
          <w:rPr>
            <w:webHidden/>
          </w:rPr>
          <w:fldChar w:fldCharType="separate"/>
        </w:r>
        <w:r w:rsidR="006F77E3" w:rsidRPr="006F77E3">
          <w:rPr>
            <w:webHidden/>
          </w:rPr>
          <w:t>39</w:t>
        </w:r>
        <w:r w:rsidR="006F77E3" w:rsidRPr="006F77E3">
          <w:rPr>
            <w:webHidden/>
          </w:rPr>
          <w:fldChar w:fldCharType="end"/>
        </w:r>
      </w:hyperlink>
    </w:p>
    <w:p w:rsidR="006F77E3" w:rsidRPr="006F77E3" w:rsidRDefault="002E6059" w:rsidP="001E59A4">
      <w:pPr>
        <w:pStyle w:val="TOC3"/>
        <w:rPr>
          <w:rFonts w:asciiTheme="minorHAnsi" w:hAnsiTheme="minorHAnsi"/>
          <w:sz w:val="22"/>
        </w:rPr>
      </w:pPr>
      <w:hyperlink w:anchor="_Toc489537755" w:history="1">
        <w:r w:rsidR="006F77E3" w:rsidRPr="006F77E3">
          <w:rPr>
            <w:rStyle w:val="Hyperlink"/>
            <w:color w:val="auto"/>
            <w:u w:val="none"/>
            <w:lang w:val="en-GB"/>
          </w:rPr>
          <w:t>Figure 34: Average price trends of various fruits traded at Fresh Produce Markets (FPMs)</w:t>
        </w:r>
        <w:r w:rsidR="006F77E3" w:rsidRPr="006F77E3">
          <w:rPr>
            <w:webHidden/>
          </w:rPr>
          <w:tab/>
        </w:r>
        <w:r w:rsidR="006F77E3" w:rsidRPr="006F77E3">
          <w:rPr>
            <w:webHidden/>
          </w:rPr>
          <w:fldChar w:fldCharType="begin"/>
        </w:r>
        <w:r w:rsidR="006F77E3" w:rsidRPr="006F77E3">
          <w:rPr>
            <w:webHidden/>
          </w:rPr>
          <w:instrText xml:space="preserve"> PAGEREF _Toc489537755 \h </w:instrText>
        </w:r>
        <w:r w:rsidR="006F77E3" w:rsidRPr="006F77E3">
          <w:rPr>
            <w:webHidden/>
          </w:rPr>
        </w:r>
        <w:r w:rsidR="006F77E3" w:rsidRPr="006F77E3">
          <w:rPr>
            <w:webHidden/>
          </w:rPr>
          <w:fldChar w:fldCharType="separate"/>
        </w:r>
        <w:r w:rsidR="006F77E3" w:rsidRPr="006F77E3">
          <w:rPr>
            <w:webHidden/>
          </w:rPr>
          <w:t>41</w:t>
        </w:r>
        <w:r w:rsidR="006F77E3" w:rsidRPr="006F77E3">
          <w:rPr>
            <w:webHidden/>
          </w:rPr>
          <w:fldChar w:fldCharType="end"/>
        </w:r>
      </w:hyperlink>
    </w:p>
    <w:p w:rsidR="006F77E3" w:rsidRPr="006F77E3" w:rsidRDefault="002E6059" w:rsidP="001E59A4">
      <w:pPr>
        <w:pStyle w:val="TOC3"/>
        <w:rPr>
          <w:rFonts w:asciiTheme="minorHAnsi" w:hAnsiTheme="minorHAnsi"/>
          <w:sz w:val="22"/>
        </w:rPr>
      </w:pPr>
      <w:hyperlink w:anchor="_Toc489537756" w:history="1">
        <w:r w:rsidR="006F77E3" w:rsidRPr="006F77E3">
          <w:rPr>
            <w:rStyle w:val="Hyperlink"/>
            <w:color w:val="auto"/>
            <w:u w:val="none"/>
            <w:lang w:val="en-GB"/>
          </w:rPr>
          <w:t>Figure 35: Quantities of various fruits traded at Fresh Produce Markets (FPMs)</w:t>
        </w:r>
        <w:r w:rsidR="006F77E3" w:rsidRPr="006F77E3">
          <w:rPr>
            <w:webHidden/>
          </w:rPr>
          <w:tab/>
        </w:r>
        <w:r w:rsidR="006F77E3" w:rsidRPr="006F77E3">
          <w:rPr>
            <w:webHidden/>
          </w:rPr>
          <w:fldChar w:fldCharType="begin"/>
        </w:r>
        <w:r w:rsidR="006F77E3" w:rsidRPr="006F77E3">
          <w:rPr>
            <w:webHidden/>
          </w:rPr>
          <w:instrText xml:space="preserve"> PAGEREF _Toc489537756 \h </w:instrText>
        </w:r>
        <w:r w:rsidR="006F77E3" w:rsidRPr="006F77E3">
          <w:rPr>
            <w:webHidden/>
          </w:rPr>
        </w:r>
        <w:r w:rsidR="006F77E3" w:rsidRPr="006F77E3">
          <w:rPr>
            <w:webHidden/>
          </w:rPr>
          <w:fldChar w:fldCharType="separate"/>
        </w:r>
        <w:r w:rsidR="006F77E3" w:rsidRPr="006F77E3">
          <w:rPr>
            <w:webHidden/>
          </w:rPr>
          <w:t>42</w:t>
        </w:r>
        <w:r w:rsidR="006F77E3" w:rsidRPr="006F77E3">
          <w:rPr>
            <w:webHidden/>
          </w:rPr>
          <w:fldChar w:fldCharType="end"/>
        </w:r>
      </w:hyperlink>
    </w:p>
    <w:p w:rsidR="006F77E3" w:rsidRPr="006F77E3" w:rsidRDefault="002E6059" w:rsidP="001E59A4">
      <w:pPr>
        <w:pStyle w:val="TOC3"/>
        <w:rPr>
          <w:rFonts w:asciiTheme="minorHAnsi" w:hAnsiTheme="minorHAnsi"/>
          <w:sz w:val="22"/>
        </w:rPr>
      </w:pPr>
      <w:hyperlink w:anchor="_Toc489537757" w:history="1">
        <w:r w:rsidR="006F77E3" w:rsidRPr="006F77E3">
          <w:rPr>
            <w:rStyle w:val="Hyperlink"/>
            <w:color w:val="auto"/>
            <w:u w:val="none"/>
            <w:lang w:val="en-GB"/>
          </w:rPr>
          <w:t>Figure 36: Average prices of various vegetables traded at Fresh Produce Markets (FPMs)</w:t>
        </w:r>
        <w:r w:rsidR="006F77E3" w:rsidRPr="006F77E3">
          <w:rPr>
            <w:webHidden/>
          </w:rPr>
          <w:tab/>
        </w:r>
        <w:r w:rsidR="006F77E3" w:rsidRPr="006F77E3">
          <w:rPr>
            <w:webHidden/>
          </w:rPr>
          <w:fldChar w:fldCharType="begin"/>
        </w:r>
        <w:r w:rsidR="006F77E3" w:rsidRPr="006F77E3">
          <w:rPr>
            <w:webHidden/>
          </w:rPr>
          <w:instrText xml:space="preserve"> PAGEREF _Toc489537757 \h </w:instrText>
        </w:r>
        <w:r w:rsidR="006F77E3" w:rsidRPr="006F77E3">
          <w:rPr>
            <w:webHidden/>
          </w:rPr>
        </w:r>
        <w:r w:rsidR="006F77E3" w:rsidRPr="006F77E3">
          <w:rPr>
            <w:webHidden/>
          </w:rPr>
          <w:fldChar w:fldCharType="separate"/>
        </w:r>
        <w:r w:rsidR="006F77E3" w:rsidRPr="006F77E3">
          <w:rPr>
            <w:webHidden/>
          </w:rPr>
          <w:t>43</w:t>
        </w:r>
        <w:r w:rsidR="006F77E3" w:rsidRPr="006F77E3">
          <w:rPr>
            <w:webHidden/>
          </w:rPr>
          <w:fldChar w:fldCharType="end"/>
        </w:r>
      </w:hyperlink>
    </w:p>
    <w:p w:rsidR="006F77E3" w:rsidRPr="006F77E3" w:rsidRDefault="006F77E3" w:rsidP="006F77E3">
      <w:pPr>
        <w:ind w:firstLine="440"/>
        <w:rPr>
          <w:webHidden/>
        </w:rPr>
      </w:pPr>
      <w:r w:rsidRPr="006F77E3">
        <w:t>Figure 37: Quantities of various vegetables traded at Fresh Produce Markets (FPMs)</w:t>
      </w:r>
      <w:r w:rsidRPr="006F77E3">
        <w:rPr>
          <w:webHidden/>
        </w:rPr>
        <w:tab/>
      </w:r>
      <w:r w:rsidRPr="006F77E3">
        <w:rPr>
          <w:webHidden/>
        </w:rPr>
        <w:fldChar w:fldCharType="begin"/>
      </w:r>
      <w:r w:rsidRPr="006F77E3">
        <w:rPr>
          <w:webHidden/>
        </w:rPr>
        <w:instrText xml:space="preserve"> PAGEREF _Toc489537758 \h </w:instrText>
      </w:r>
      <w:r w:rsidRPr="006F77E3">
        <w:rPr>
          <w:webHidden/>
        </w:rPr>
      </w:r>
      <w:r w:rsidRPr="006F77E3">
        <w:rPr>
          <w:webHidden/>
        </w:rPr>
        <w:fldChar w:fldCharType="separate"/>
      </w:r>
      <w:r w:rsidRPr="006F77E3">
        <w:rPr>
          <w:webHidden/>
        </w:rPr>
        <w:t>44</w:t>
      </w:r>
      <w:r w:rsidRPr="006F77E3">
        <w:rPr>
          <w:webHidden/>
        </w:rPr>
        <w:fldChar w:fldCharType="end"/>
      </w:r>
    </w:p>
    <w:p w:rsidR="006F77E3" w:rsidRPr="006F77E3" w:rsidRDefault="002E6059" w:rsidP="001E59A4">
      <w:pPr>
        <w:pStyle w:val="TOC3"/>
        <w:rPr>
          <w:rFonts w:asciiTheme="minorHAnsi" w:hAnsiTheme="minorHAnsi"/>
          <w:sz w:val="22"/>
        </w:rPr>
      </w:pPr>
      <w:hyperlink w:anchor="_Toc489537761" w:history="1">
        <w:r w:rsidR="006F77E3" w:rsidRPr="006F77E3">
          <w:rPr>
            <w:rStyle w:val="Hyperlink"/>
            <w:color w:val="auto"/>
            <w:u w:val="none"/>
          </w:rPr>
          <w:t>Figure 38: Beef production</w:t>
        </w:r>
        <w:r w:rsidR="006F77E3" w:rsidRPr="006F77E3">
          <w:rPr>
            <w:webHidden/>
          </w:rPr>
          <w:tab/>
        </w:r>
        <w:r w:rsidR="006F77E3" w:rsidRPr="006F77E3">
          <w:rPr>
            <w:webHidden/>
          </w:rPr>
          <w:fldChar w:fldCharType="begin"/>
        </w:r>
        <w:r w:rsidR="006F77E3" w:rsidRPr="006F77E3">
          <w:rPr>
            <w:webHidden/>
          </w:rPr>
          <w:instrText xml:space="preserve"> PAGEREF _Toc489537761 \h </w:instrText>
        </w:r>
        <w:r w:rsidR="006F77E3" w:rsidRPr="006F77E3">
          <w:rPr>
            <w:webHidden/>
          </w:rPr>
        </w:r>
        <w:r w:rsidR="006F77E3" w:rsidRPr="006F77E3">
          <w:rPr>
            <w:webHidden/>
          </w:rPr>
          <w:fldChar w:fldCharType="separate"/>
        </w:r>
        <w:r w:rsidR="006F77E3" w:rsidRPr="006F77E3">
          <w:rPr>
            <w:webHidden/>
          </w:rPr>
          <w:t>45</w:t>
        </w:r>
        <w:r w:rsidR="006F77E3" w:rsidRPr="006F77E3">
          <w:rPr>
            <w:webHidden/>
          </w:rPr>
          <w:fldChar w:fldCharType="end"/>
        </w:r>
      </w:hyperlink>
    </w:p>
    <w:p w:rsidR="006F77E3" w:rsidRPr="006F77E3" w:rsidRDefault="002E6059" w:rsidP="006F77E3">
      <w:pPr>
        <w:ind w:firstLine="440"/>
        <w:rPr>
          <w:rStyle w:val="Hyperlink"/>
          <w:noProof/>
          <w:color w:val="auto"/>
          <w:u w:val="none"/>
        </w:rPr>
      </w:pPr>
      <w:hyperlink w:anchor="_Toc489537762" w:history="1">
        <w:r w:rsidR="006F77E3" w:rsidRPr="006F77E3">
          <w:rPr>
            <w:rStyle w:val="Hyperlink"/>
            <w:noProof/>
            <w:color w:val="auto"/>
            <w:u w:val="none"/>
          </w:rPr>
          <w:t>Figure 39: SA weaner calf purchases, beef carcase sales and live sales</w:t>
        </w:r>
        <w:r w:rsidR="001E59A4">
          <w:rPr>
            <w:rStyle w:val="Hyperlink"/>
            <w:noProof/>
            <w:color w:val="auto"/>
            <w:u w:val="none"/>
          </w:rPr>
          <w:t>……………………………………...</w:t>
        </w:r>
        <w:r w:rsidR="006F77E3" w:rsidRPr="006F77E3">
          <w:rPr>
            <w:noProof/>
            <w:webHidden/>
          </w:rPr>
          <w:fldChar w:fldCharType="begin"/>
        </w:r>
        <w:r w:rsidR="006F77E3" w:rsidRPr="006F77E3">
          <w:rPr>
            <w:noProof/>
            <w:webHidden/>
          </w:rPr>
          <w:instrText xml:space="preserve"> PAGEREF _Toc489537762 \h </w:instrText>
        </w:r>
        <w:r w:rsidR="006F77E3" w:rsidRPr="006F77E3">
          <w:rPr>
            <w:noProof/>
            <w:webHidden/>
          </w:rPr>
        </w:r>
        <w:r w:rsidR="006F77E3" w:rsidRPr="006F77E3">
          <w:rPr>
            <w:noProof/>
            <w:webHidden/>
          </w:rPr>
          <w:fldChar w:fldCharType="separate"/>
        </w:r>
        <w:r w:rsidR="006F77E3" w:rsidRPr="006F77E3">
          <w:rPr>
            <w:noProof/>
            <w:webHidden/>
          </w:rPr>
          <w:t>46</w:t>
        </w:r>
        <w:r w:rsidR="006F77E3" w:rsidRPr="006F77E3">
          <w:rPr>
            <w:noProof/>
            <w:webHidden/>
          </w:rPr>
          <w:fldChar w:fldCharType="end"/>
        </w:r>
      </w:hyperlink>
    </w:p>
    <w:p w:rsidR="006F77E3" w:rsidRPr="006F77E3" w:rsidRDefault="002E6059" w:rsidP="001E59A4">
      <w:pPr>
        <w:pStyle w:val="TOC3"/>
        <w:rPr>
          <w:rFonts w:asciiTheme="minorHAnsi" w:hAnsiTheme="minorHAnsi"/>
          <w:sz w:val="22"/>
        </w:rPr>
      </w:pPr>
      <w:hyperlink w:anchor="_Toc489537764" w:history="1">
        <w:r w:rsidR="006F77E3" w:rsidRPr="006F77E3">
          <w:rPr>
            <w:rStyle w:val="Hyperlink"/>
            <w:color w:val="auto"/>
            <w:u w:val="none"/>
          </w:rPr>
          <w:t>Figure 40: Poultry Production</w:t>
        </w:r>
        <w:r w:rsidR="006F77E3" w:rsidRPr="006F77E3">
          <w:rPr>
            <w:webHidden/>
          </w:rPr>
          <w:tab/>
        </w:r>
        <w:r w:rsidR="006F77E3" w:rsidRPr="006F77E3">
          <w:rPr>
            <w:webHidden/>
          </w:rPr>
          <w:fldChar w:fldCharType="begin"/>
        </w:r>
        <w:r w:rsidR="006F77E3" w:rsidRPr="006F77E3">
          <w:rPr>
            <w:webHidden/>
          </w:rPr>
          <w:instrText xml:space="preserve"> PAGEREF _Toc489537764 \h </w:instrText>
        </w:r>
        <w:r w:rsidR="006F77E3" w:rsidRPr="006F77E3">
          <w:rPr>
            <w:webHidden/>
          </w:rPr>
        </w:r>
        <w:r w:rsidR="006F77E3" w:rsidRPr="006F77E3">
          <w:rPr>
            <w:webHidden/>
          </w:rPr>
          <w:fldChar w:fldCharType="separate"/>
        </w:r>
        <w:r w:rsidR="006F77E3" w:rsidRPr="006F77E3">
          <w:rPr>
            <w:webHidden/>
          </w:rPr>
          <w:t>47</w:t>
        </w:r>
        <w:r w:rsidR="006F77E3" w:rsidRPr="006F77E3">
          <w:rPr>
            <w:webHidden/>
          </w:rPr>
          <w:fldChar w:fldCharType="end"/>
        </w:r>
      </w:hyperlink>
    </w:p>
    <w:p w:rsidR="006F77E3" w:rsidRPr="006F77E3" w:rsidRDefault="002E6059" w:rsidP="001E59A4">
      <w:pPr>
        <w:pStyle w:val="TOC3"/>
        <w:rPr>
          <w:rFonts w:asciiTheme="minorHAnsi" w:hAnsiTheme="minorHAnsi"/>
          <w:sz w:val="22"/>
        </w:rPr>
      </w:pPr>
      <w:hyperlink w:anchor="_Toc489537765" w:history="1">
        <w:r w:rsidR="006F77E3" w:rsidRPr="006F77E3">
          <w:rPr>
            <w:rStyle w:val="Hyperlink"/>
            <w:color w:val="auto"/>
            <w:u w:val="none"/>
          </w:rPr>
          <w:t xml:space="preserve">Figure </w:t>
        </w:r>
        <w:r w:rsidR="00D620B7" w:rsidRPr="006F77E3">
          <w:rPr>
            <w:rStyle w:val="Hyperlink"/>
            <w:color w:val="auto"/>
            <w:u w:val="none"/>
          </w:rPr>
          <w:t>4</w:t>
        </w:r>
        <w:r w:rsidR="00D620B7">
          <w:rPr>
            <w:rStyle w:val="Hyperlink"/>
            <w:color w:val="auto"/>
            <w:u w:val="none"/>
          </w:rPr>
          <w:t>1</w:t>
        </w:r>
        <w:r w:rsidR="006F77E3" w:rsidRPr="006F77E3">
          <w:rPr>
            <w:rStyle w:val="Hyperlink"/>
            <w:color w:val="auto"/>
            <w:u w:val="none"/>
          </w:rPr>
          <w:t>: Poultry feed vs Retail prices</w:t>
        </w:r>
        <w:r w:rsidR="006F77E3" w:rsidRPr="006F77E3">
          <w:rPr>
            <w:webHidden/>
          </w:rPr>
          <w:tab/>
        </w:r>
        <w:r w:rsidR="006F77E3" w:rsidRPr="006F77E3">
          <w:rPr>
            <w:webHidden/>
          </w:rPr>
          <w:fldChar w:fldCharType="begin"/>
        </w:r>
        <w:r w:rsidR="006F77E3" w:rsidRPr="006F77E3">
          <w:rPr>
            <w:webHidden/>
          </w:rPr>
          <w:instrText xml:space="preserve"> PAGEREF _Toc489537765 \h </w:instrText>
        </w:r>
        <w:r w:rsidR="006F77E3" w:rsidRPr="006F77E3">
          <w:rPr>
            <w:webHidden/>
          </w:rPr>
        </w:r>
        <w:r w:rsidR="006F77E3" w:rsidRPr="006F77E3">
          <w:rPr>
            <w:webHidden/>
          </w:rPr>
          <w:fldChar w:fldCharType="separate"/>
        </w:r>
        <w:r w:rsidR="006F77E3" w:rsidRPr="006F77E3">
          <w:rPr>
            <w:webHidden/>
          </w:rPr>
          <w:t>48</w:t>
        </w:r>
        <w:r w:rsidR="006F77E3" w:rsidRPr="006F77E3">
          <w:rPr>
            <w:webHidden/>
          </w:rPr>
          <w:fldChar w:fldCharType="end"/>
        </w:r>
      </w:hyperlink>
    </w:p>
    <w:p w:rsidR="006F77E3" w:rsidRPr="006F77E3" w:rsidRDefault="002E6059" w:rsidP="001E59A4">
      <w:pPr>
        <w:pStyle w:val="TOC3"/>
        <w:rPr>
          <w:rFonts w:asciiTheme="minorHAnsi" w:hAnsiTheme="minorHAnsi"/>
          <w:sz w:val="22"/>
        </w:rPr>
      </w:pPr>
      <w:hyperlink w:anchor="_Toc489537766" w:history="1">
        <w:r w:rsidR="006F77E3" w:rsidRPr="006F77E3">
          <w:rPr>
            <w:rStyle w:val="Hyperlink"/>
            <w:color w:val="auto"/>
            <w:u w:val="none"/>
          </w:rPr>
          <w:t xml:space="preserve">Figure </w:t>
        </w:r>
        <w:r w:rsidR="00D620B7" w:rsidRPr="006F77E3">
          <w:rPr>
            <w:rStyle w:val="Hyperlink"/>
            <w:color w:val="auto"/>
            <w:u w:val="none"/>
          </w:rPr>
          <w:t>4</w:t>
        </w:r>
        <w:r w:rsidR="00D620B7">
          <w:rPr>
            <w:rStyle w:val="Hyperlink"/>
            <w:color w:val="auto"/>
            <w:u w:val="none"/>
          </w:rPr>
          <w:t>2</w:t>
        </w:r>
        <w:r w:rsidR="006F77E3" w:rsidRPr="006F77E3">
          <w:rPr>
            <w:rStyle w:val="Hyperlink"/>
            <w:color w:val="auto"/>
            <w:u w:val="none"/>
          </w:rPr>
          <w:t>:  Trends in total egg production and average price per dozen of eggs.</w:t>
        </w:r>
        <w:r w:rsidR="006F77E3" w:rsidRPr="006F77E3">
          <w:rPr>
            <w:webHidden/>
          </w:rPr>
          <w:tab/>
        </w:r>
        <w:r w:rsidR="006F77E3" w:rsidRPr="006F77E3">
          <w:rPr>
            <w:webHidden/>
          </w:rPr>
          <w:fldChar w:fldCharType="begin"/>
        </w:r>
        <w:r w:rsidR="006F77E3" w:rsidRPr="006F77E3">
          <w:rPr>
            <w:webHidden/>
          </w:rPr>
          <w:instrText xml:space="preserve"> PAGEREF _Toc489537766 \h </w:instrText>
        </w:r>
        <w:r w:rsidR="006F77E3" w:rsidRPr="006F77E3">
          <w:rPr>
            <w:webHidden/>
          </w:rPr>
        </w:r>
        <w:r w:rsidR="006F77E3" w:rsidRPr="006F77E3">
          <w:rPr>
            <w:webHidden/>
          </w:rPr>
          <w:fldChar w:fldCharType="separate"/>
        </w:r>
        <w:r w:rsidR="006F77E3" w:rsidRPr="006F77E3">
          <w:rPr>
            <w:webHidden/>
          </w:rPr>
          <w:t>48</w:t>
        </w:r>
        <w:r w:rsidR="006F77E3" w:rsidRPr="006F77E3">
          <w:rPr>
            <w:webHidden/>
          </w:rPr>
          <w:fldChar w:fldCharType="end"/>
        </w:r>
      </w:hyperlink>
    </w:p>
    <w:p w:rsidR="006F77E3" w:rsidRPr="006F77E3" w:rsidRDefault="002E6059" w:rsidP="001E59A4">
      <w:pPr>
        <w:pStyle w:val="TOC3"/>
        <w:rPr>
          <w:rStyle w:val="Hyperlink"/>
          <w:color w:val="auto"/>
          <w:u w:val="none"/>
        </w:rPr>
      </w:pPr>
      <w:hyperlink w:anchor="_Toc489537767" w:history="1">
        <w:r w:rsidR="006F77E3" w:rsidRPr="006F77E3">
          <w:rPr>
            <w:rStyle w:val="Hyperlink"/>
            <w:color w:val="auto"/>
            <w:u w:val="none"/>
          </w:rPr>
          <w:t xml:space="preserve">Figure </w:t>
        </w:r>
        <w:r w:rsidR="00D620B7" w:rsidRPr="006F77E3">
          <w:rPr>
            <w:rStyle w:val="Hyperlink"/>
            <w:color w:val="auto"/>
            <w:u w:val="none"/>
          </w:rPr>
          <w:t>4</w:t>
        </w:r>
        <w:r w:rsidR="00D620B7">
          <w:rPr>
            <w:rStyle w:val="Hyperlink"/>
            <w:color w:val="auto"/>
            <w:u w:val="none"/>
          </w:rPr>
          <w:t>3</w:t>
        </w:r>
        <w:r w:rsidR="006F77E3" w:rsidRPr="006F77E3">
          <w:rPr>
            <w:rStyle w:val="Hyperlink"/>
            <w:color w:val="auto"/>
            <w:u w:val="none"/>
          </w:rPr>
          <w:t>:   Trends in imports and exports of Birds' Eggs, In Shell, Fresh, Preserved Or Cooked</w:t>
        </w:r>
        <w:r w:rsidR="006F77E3" w:rsidRPr="006F77E3">
          <w:rPr>
            <w:webHidden/>
          </w:rPr>
          <w:tab/>
        </w:r>
        <w:r w:rsidR="006F77E3" w:rsidRPr="006F77E3">
          <w:rPr>
            <w:webHidden/>
          </w:rPr>
          <w:fldChar w:fldCharType="begin"/>
        </w:r>
        <w:r w:rsidR="006F77E3" w:rsidRPr="006F77E3">
          <w:rPr>
            <w:webHidden/>
          </w:rPr>
          <w:instrText xml:space="preserve"> PAGEREF _Toc489537767 \h </w:instrText>
        </w:r>
        <w:r w:rsidR="006F77E3" w:rsidRPr="006F77E3">
          <w:rPr>
            <w:webHidden/>
          </w:rPr>
        </w:r>
        <w:r w:rsidR="006F77E3" w:rsidRPr="006F77E3">
          <w:rPr>
            <w:webHidden/>
          </w:rPr>
          <w:fldChar w:fldCharType="separate"/>
        </w:r>
        <w:r w:rsidR="006F77E3" w:rsidRPr="006F77E3">
          <w:rPr>
            <w:webHidden/>
          </w:rPr>
          <w:t>50</w:t>
        </w:r>
        <w:r w:rsidR="006F77E3" w:rsidRPr="006F77E3">
          <w:rPr>
            <w:webHidden/>
          </w:rPr>
          <w:fldChar w:fldCharType="end"/>
        </w:r>
      </w:hyperlink>
    </w:p>
    <w:p w:rsidR="006F77E3" w:rsidRPr="006F77E3" w:rsidRDefault="002E6059" w:rsidP="001E59A4">
      <w:pPr>
        <w:pStyle w:val="TOC3"/>
        <w:rPr>
          <w:rFonts w:asciiTheme="minorHAnsi" w:hAnsiTheme="minorHAnsi"/>
          <w:sz w:val="22"/>
        </w:rPr>
      </w:pPr>
      <w:hyperlink w:anchor="_Toc489537769" w:history="1">
        <w:r w:rsidR="006F77E3" w:rsidRPr="006F77E3">
          <w:rPr>
            <w:rStyle w:val="Hyperlink"/>
            <w:color w:val="auto"/>
            <w:u w:val="none"/>
          </w:rPr>
          <w:t xml:space="preserve">Figure </w:t>
        </w:r>
        <w:r w:rsidR="00D620B7" w:rsidRPr="006F77E3">
          <w:rPr>
            <w:rStyle w:val="Hyperlink"/>
            <w:color w:val="auto"/>
            <w:u w:val="none"/>
          </w:rPr>
          <w:t>4</w:t>
        </w:r>
        <w:r w:rsidR="00D620B7">
          <w:rPr>
            <w:rStyle w:val="Hyperlink"/>
            <w:color w:val="auto"/>
            <w:u w:val="none"/>
          </w:rPr>
          <w:t>4</w:t>
        </w:r>
        <w:r w:rsidR="006F77E3" w:rsidRPr="006F77E3">
          <w:rPr>
            <w:rStyle w:val="Hyperlink"/>
            <w:color w:val="auto"/>
            <w:u w:val="none"/>
          </w:rPr>
          <w:t>:  Trends in total production and average price of milk</w:t>
        </w:r>
        <w:r w:rsidR="006F77E3" w:rsidRPr="006F77E3">
          <w:rPr>
            <w:webHidden/>
          </w:rPr>
          <w:tab/>
        </w:r>
        <w:r w:rsidR="006F77E3" w:rsidRPr="006F77E3">
          <w:rPr>
            <w:webHidden/>
          </w:rPr>
          <w:fldChar w:fldCharType="begin"/>
        </w:r>
        <w:r w:rsidR="006F77E3" w:rsidRPr="006F77E3">
          <w:rPr>
            <w:webHidden/>
          </w:rPr>
          <w:instrText xml:space="preserve"> PAGEREF _Toc489537769 \h </w:instrText>
        </w:r>
        <w:r w:rsidR="006F77E3" w:rsidRPr="006F77E3">
          <w:rPr>
            <w:webHidden/>
          </w:rPr>
        </w:r>
        <w:r w:rsidR="006F77E3" w:rsidRPr="006F77E3">
          <w:rPr>
            <w:webHidden/>
          </w:rPr>
          <w:fldChar w:fldCharType="separate"/>
        </w:r>
        <w:r w:rsidR="006F77E3" w:rsidRPr="006F77E3">
          <w:rPr>
            <w:webHidden/>
          </w:rPr>
          <w:t>51</w:t>
        </w:r>
        <w:r w:rsidR="006F77E3" w:rsidRPr="006F77E3">
          <w:rPr>
            <w:webHidden/>
          </w:rPr>
          <w:fldChar w:fldCharType="end"/>
        </w:r>
      </w:hyperlink>
    </w:p>
    <w:p w:rsidR="006F77E3" w:rsidRPr="006F77E3" w:rsidRDefault="002E6059" w:rsidP="001E59A4">
      <w:pPr>
        <w:pStyle w:val="TOC3"/>
        <w:rPr>
          <w:rStyle w:val="Hyperlink"/>
          <w:color w:val="auto"/>
          <w:u w:val="none"/>
        </w:rPr>
      </w:pPr>
      <w:hyperlink w:anchor="_Toc489537770" w:history="1">
        <w:r w:rsidR="006F77E3" w:rsidRPr="006F77E3">
          <w:rPr>
            <w:rStyle w:val="Hyperlink"/>
            <w:color w:val="auto"/>
            <w:u w:val="none"/>
          </w:rPr>
          <w:t xml:space="preserve">Figure </w:t>
        </w:r>
        <w:r w:rsidR="00D620B7" w:rsidRPr="006F77E3">
          <w:rPr>
            <w:rStyle w:val="Hyperlink"/>
            <w:color w:val="auto"/>
            <w:u w:val="none"/>
          </w:rPr>
          <w:t>4</w:t>
        </w:r>
        <w:r w:rsidR="00D620B7">
          <w:rPr>
            <w:rStyle w:val="Hyperlink"/>
            <w:color w:val="auto"/>
            <w:u w:val="none"/>
          </w:rPr>
          <w:t>5</w:t>
        </w:r>
        <w:r w:rsidR="006F77E3" w:rsidRPr="006F77E3">
          <w:rPr>
            <w:rStyle w:val="Hyperlink"/>
            <w:color w:val="auto"/>
            <w:u w:val="none"/>
          </w:rPr>
          <w:t>:   Trends in imports and exports of milk and cream, not concentrated nor containing added sweetening</w:t>
        </w:r>
        <w:r w:rsidR="006F77E3" w:rsidRPr="006F77E3">
          <w:rPr>
            <w:webHidden/>
          </w:rPr>
          <w:tab/>
        </w:r>
        <w:r w:rsidR="006F77E3" w:rsidRPr="006F77E3">
          <w:rPr>
            <w:webHidden/>
          </w:rPr>
          <w:fldChar w:fldCharType="begin"/>
        </w:r>
        <w:r w:rsidR="006F77E3" w:rsidRPr="006F77E3">
          <w:rPr>
            <w:webHidden/>
          </w:rPr>
          <w:instrText xml:space="preserve"> PAGEREF _Toc489537770 \h </w:instrText>
        </w:r>
        <w:r w:rsidR="006F77E3" w:rsidRPr="006F77E3">
          <w:rPr>
            <w:webHidden/>
          </w:rPr>
        </w:r>
        <w:r w:rsidR="006F77E3" w:rsidRPr="006F77E3">
          <w:rPr>
            <w:webHidden/>
          </w:rPr>
          <w:fldChar w:fldCharType="separate"/>
        </w:r>
        <w:r w:rsidR="006F77E3" w:rsidRPr="006F77E3">
          <w:rPr>
            <w:webHidden/>
          </w:rPr>
          <w:t>52</w:t>
        </w:r>
        <w:r w:rsidR="006F77E3" w:rsidRPr="006F77E3">
          <w:rPr>
            <w:webHidden/>
          </w:rPr>
          <w:fldChar w:fldCharType="end"/>
        </w:r>
      </w:hyperlink>
    </w:p>
    <w:p w:rsidR="006F77E3" w:rsidRPr="006F77E3" w:rsidRDefault="002E6059" w:rsidP="001E59A4">
      <w:pPr>
        <w:pStyle w:val="TOC3"/>
        <w:rPr>
          <w:rFonts w:asciiTheme="minorHAnsi" w:hAnsiTheme="minorHAnsi"/>
          <w:sz w:val="22"/>
        </w:rPr>
      </w:pPr>
      <w:hyperlink w:anchor="_Toc489537772" w:history="1">
        <w:r w:rsidR="006F77E3" w:rsidRPr="006F77E3">
          <w:rPr>
            <w:rStyle w:val="Hyperlink"/>
            <w:color w:val="auto"/>
            <w:u w:val="none"/>
          </w:rPr>
          <w:t xml:space="preserve">Figure </w:t>
        </w:r>
        <w:r w:rsidR="00D620B7" w:rsidRPr="006F77E3">
          <w:rPr>
            <w:rStyle w:val="Hyperlink"/>
            <w:color w:val="auto"/>
            <w:u w:val="none"/>
          </w:rPr>
          <w:t>4</w:t>
        </w:r>
        <w:r w:rsidR="00D620B7">
          <w:rPr>
            <w:rStyle w:val="Hyperlink"/>
            <w:color w:val="auto"/>
            <w:u w:val="none"/>
          </w:rPr>
          <w:t>6</w:t>
        </w:r>
        <w:r w:rsidR="006F77E3" w:rsidRPr="006F77E3">
          <w:rPr>
            <w:rStyle w:val="Hyperlink"/>
            <w:color w:val="auto"/>
            <w:u w:val="none"/>
          </w:rPr>
          <w:t>: Trade balance of agricultural products</w:t>
        </w:r>
        <w:r w:rsidR="006F77E3" w:rsidRPr="006F77E3">
          <w:rPr>
            <w:webHidden/>
          </w:rPr>
          <w:tab/>
        </w:r>
        <w:r w:rsidR="006F77E3" w:rsidRPr="006F77E3">
          <w:rPr>
            <w:webHidden/>
          </w:rPr>
          <w:fldChar w:fldCharType="begin"/>
        </w:r>
        <w:r w:rsidR="006F77E3" w:rsidRPr="006F77E3">
          <w:rPr>
            <w:webHidden/>
          </w:rPr>
          <w:instrText xml:space="preserve"> PAGEREF _Toc489537772 \h </w:instrText>
        </w:r>
        <w:r w:rsidR="006F77E3" w:rsidRPr="006F77E3">
          <w:rPr>
            <w:webHidden/>
          </w:rPr>
        </w:r>
        <w:r w:rsidR="006F77E3" w:rsidRPr="006F77E3">
          <w:rPr>
            <w:webHidden/>
          </w:rPr>
          <w:fldChar w:fldCharType="separate"/>
        </w:r>
        <w:r w:rsidR="006F77E3" w:rsidRPr="006F77E3">
          <w:rPr>
            <w:webHidden/>
          </w:rPr>
          <w:t>53</w:t>
        </w:r>
        <w:r w:rsidR="006F77E3" w:rsidRPr="006F77E3">
          <w:rPr>
            <w:webHidden/>
          </w:rPr>
          <w:fldChar w:fldCharType="end"/>
        </w:r>
      </w:hyperlink>
    </w:p>
    <w:p w:rsidR="006F77E3" w:rsidRPr="006F77E3" w:rsidRDefault="002E6059" w:rsidP="001E59A4">
      <w:pPr>
        <w:pStyle w:val="TOC3"/>
        <w:rPr>
          <w:rFonts w:asciiTheme="minorHAnsi" w:hAnsiTheme="minorHAnsi"/>
          <w:sz w:val="22"/>
        </w:rPr>
      </w:pPr>
      <w:hyperlink w:anchor="_Toc489537773" w:history="1">
        <w:r w:rsidR="006F77E3" w:rsidRPr="006F77E3">
          <w:rPr>
            <w:rStyle w:val="Hyperlink"/>
            <w:color w:val="auto"/>
            <w:u w:val="none"/>
          </w:rPr>
          <w:t xml:space="preserve">Figure </w:t>
        </w:r>
        <w:r w:rsidR="00D620B7" w:rsidRPr="006F77E3">
          <w:rPr>
            <w:rStyle w:val="Hyperlink"/>
            <w:color w:val="auto"/>
            <w:u w:val="none"/>
          </w:rPr>
          <w:t>4</w:t>
        </w:r>
        <w:r w:rsidR="00D620B7">
          <w:rPr>
            <w:rStyle w:val="Hyperlink"/>
            <w:color w:val="auto"/>
            <w:u w:val="none"/>
          </w:rPr>
          <w:t>7</w:t>
        </w:r>
        <w:r w:rsidR="006F77E3" w:rsidRPr="006F77E3">
          <w:rPr>
            <w:rStyle w:val="Hyperlink"/>
            <w:color w:val="auto"/>
            <w:u w:val="none"/>
          </w:rPr>
          <w:t>: Top Three markets of agricultural products exported by SA</w:t>
        </w:r>
        <w:r w:rsidR="006F77E3" w:rsidRPr="006F77E3">
          <w:rPr>
            <w:webHidden/>
          </w:rPr>
          <w:tab/>
        </w:r>
        <w:r w:rsidR="006F77E3" w:rsidRPr="006F77E3">
          <w:rPr>
            <w:webHidden/>
          </w:rPr>
          <w:fldChar w:fldCharType="begin"/>
        </w:r>
        <w:r w:rsidR="006F77E3" w:rsidRPr="006F77E3">
          <w:rPr>
            <w:webHidden/>
          </w:rPr>
          <w:instrText xml:space="preserve"> PAGEREF _Toc489537773 \h </w:instrText>
        </w:r>
        <w:r w:rsidR="006F77E3" w:rsidRPr="006F77E3">
          <w:rPr>
            <w:webHidden/>
          </w:rPr>
        </w:r>
        <w:r w:rsidR="006F77E3" w:rsidRPr="006F77E3">
          <w:rPr>
            <w:webHidden/>
          </w:rPr>
          <w:fldChar w:fldCharType="separate"/>
        </w:r>
        <w:r w:rsidR="006F77E3" w:rsidRPr="006F77E3">
          <w:rPr>
            <w:webHidden/>
          </w:rPr>
          <w:t>54</w:t>
        </w:r>
        <w:r w:rsidR="006F77E3" w:rsidRPr="006F77E3">
          <w:rPr>
            <w:webHidden/>
          </w:rPr>
          <w:fldChar w:fldCharType="end"/>
        </w:r>
      </w:hyperlink>
    </w:p>
    <w:p w:rsidR="006F77E3" w:rsidRPr="006F77E3" w:rsidRDefault="002E6059" w:rsidP="001E59A4">
      <w:pPr>
        <w:pStyle w:val="TOC3"/>
        <w:rPr>
          <w:rFonts w:asciiTheme="minorHAnsi" w:hAnsiTheme="minorHAnsi"/>
          <w:sz w:val="22"/>
        </w:rPr>
      </w:pPr>
      <w:hyperlink w:anchor="_Toc489537774" w:history="1">
        <w:r w:rsidR="006F77E3" w:rsidRPr="006F77E3">
          <w:rPr>
            <w:rStyle w:val="Hyperlink"/>
            <w:color w:val="auto"/>
            <w:u w:val="none"/>
          </w:rPr>
          <w:t xml:space="preserve">Figure </w:t>
        </w:r>
        <w:r w:rsidR="00D620B7" w:rsidRPr="006F77E3">
          <w:rPr>
            <w:rStyle w:val="Hyperlink"/>
            <w:color w:val="auto"/>
            <w:u w:val="none"/>
          </w:rPr>
          <w:t>4</w:t>
        </w:r>
        <w:r w:rsidR="00D620B7">
          <w:rPr>
            <w:rStyle w:val="Hyperlink"/>
            <w:color w:val="auto"/>
            <w:u w:val="none"/>
          </w:rPr>
          <w:t>8</w:t>
        </w:r>
        <w:r w:rsidR="006F77E3" w:rsidRPr="006F77E3">
          <w:rPr>
            <w:rStyle w:val="Hyperlink"/>
            <w:color w:val="auto"/>
            <w:u w:val="none"/>
          </w:rPr>
          <w:t>: Top five agricultural products exported by SA</w:t>
        </w:r>
        <w:r w:rsidR="006F77E3" w:rsidRPr="006F77E3">
          <w:rPr>
            <w:webHidden/>
          </w:rPr>
          <w:tab/>
        </w:r>
        <w:r w:rsidR="006F77E3" w:rsidRPr="006F77E3">
          <w:rPr>
            <w:webHidden/>
          </w:rPr>
          <w:fldChar w:fldCharType="begin"/>
        </w:r>
        <w:r w:rsidR="006F77E3" w:rsidRPr="006F77E3">
          <w:rPr>
            <w:webHidden/>
          </w:rPr>
          <w:instrText xml:space="preserve"> PAGEREF _Toc489537774 \h </w:instrText>
        </w:r>
        <w:r w:rsidR="006F77E3" w:rsidRPr="006F77E3">
          <w:rPr>
            <w:webHidden/>
          </w:rPr>
        </w:r>
        <w:r w:rsidR="006F77E3" w:rsidRPr="006F77E3">
          <w:rPr>
            <w:webHidden/>
          </w:rPr>
          <w:fldChar w:fldCharType="separate"/>
        </w:r>
        <w:r w:rsidR="006F77E3" w:rsidRPr="006F77E3">
          <w:rPr>
            <w:webHidden/>
          </w:rPr>
          <w:t>54</w:t>
        </w:r>
        <w:r w:rsidR="006F77E3" w:rsidRPr="006F77E3">
          <w:rPr>
            <w:webHidden/>
          </w:rPr>
          <w:fldChar w:fldCharType="end"/>
        </w:r>
      </w:hyperlink>
    </w:p>
    <w:p w:rsidR="006F77E3" w:rsidRPr="006F77E3" w:rsidRDefault="002E6059" w:rsidP="001E59A4">
      <w:pPr>
        <w:pStyle w:val="TOC3"/>
        <w:rPr>
          <w:rFonts w:asciiTheme="minorHAnsi" w:hAnsiTheme="minorHAnsi"/>
          <w:sz w:val="22"/>
        </w:rPr>
      </w:pPr>
      <w:hyperlink w:anchor="_Toc489537775" w:history="1">
        <w:r w:rsidR="006F77E3" w:rsidRPr="006F77E3">
          <w:rPr>
            <w:rStyle w:val="Hyperlink"/>
            <w:color w:val="auto"/>
            <w:u w:val="none"/>
          </w:rPr>
          <w:t xml:space="preserve">Figure </w:t>
        </w:r>
        <w:r w:rsidR="00D620B7">
          <w:rPr>
            <w:rStyle w:val="Hyperlink"/>
            <w:color w:val="auto"/>
            <w:u w:val="none"/>
          </w:rPr>
          <w:t>49</w:t>
        </w:r>
        <w:r w:rsidR="006F77E3" w:rsidRPr="006F77E3">
          <w:rPr>
            <w:rStyle w:val="Hyperlink"/>
            <w:color w:val="auto"/>
            <w:u w:val="none"/>
          </w:rPr>
          <w:t>:  Top three market suppliers of agricultural products to SA</w:t>
        </w:r>
        <w:r w:rsidR="006F77E3" w:rsidRPr="006F77E3">
          <w:rPr>
            <w:webHidden/>
          </w:rPr>
          <w:tab/>
        </w:r>
        <w:r w:rsidR="006F77E3" w:rsidRPr="006F77E3">
          <w:rPr>
            <w:webHidden/>
          </w:rPr>
          <w:fldChar w:fldCharType="begin"/>
        </w:r>
        <w:r w:rsidR="006F77E3" w:rsidRPr="006F77E3">
          <w:rPr>
            <w:webHidden/>
          </w:rPr>
          <w:instrText xml:space="preserve"> PAGEREF _Toc489537775 \h </w:instrText>
        </w:r>
        <w:r w:rsidR="006F77E3" w:rsidRPr="006F77E3">
          <w:rPr>
            <w:webHidden/>
          </w:rPr>
        </w:r>
        <w:r w:rsidR="006F77E3" w:rsidRPr="006F77E3">
          <w:rPr>
            <w:webHidden/>
          </w:rPr>
          <w:fldChar w:fldCharType="separate"/>
        </w:r>
        <w:r w:rsidR="006F77E3" w:rsidRPr="006F77E3">
          <w:rPr>
            <w:webHidden/>
          </w:rPr>
          <w:t>55</w:t>
        </w:r>
        <w:r w:rsidR="006F77E3" w:rsidRPr="006F77E3">
          <w:rPr>
            <w:webHidden/>
          </w:rPr>
          <w:fldChar w:fldCharType="end"/>
        </w:r>
      </w:hyperlink>
    </w:p>
    <w:p w:rsidR="006F77E3" w:rsidRPr="006F77E3" w:rsidRDefault="002E6059" w:rsidP="001E59A4">
      <w:pPr>
        <w:pStyle w:val="TOC3"/>
        <w:rPr>
          <w:rStyle w:val="Hyperlink"/>
          <w:color w:val="auto"/>
          <w:u w:val="none"/>
        </w:rPr>
      </w:pPr>
      <w:hyperlink w:anchor="_Toc489537776" w:history="1">
        <w:r w:rsidR="006F77E3" w:rsidRPr="006F77E3">
          <w:rPr>
            <w:rStyle w:val="Hyperlink"/>
            <w:color w:val="auto"/>
            <w:u w:val="none"/>
          </w:rPr>
          <w:t xml:space="preserve">Figure </w:t>
        </w:r>
        <w:r w:rsidR="00D620B7" w:rsidRPr="006F77E3">
          <w:rPr>
            <w:rStyle w:val="Hyperlink"/>
            <w:color w:val="auto"/>
            <w:u w:val="none"/>
          </w:rPr>
          <w:t>5</w:t>
        </w:r>
        <w:r w:rsidR="00D620B7">
          <w:rPr>
            <w:rStyle w:val="Hyperlink"/>
            <w:color w:val="auto"/>
            <w:u w:val="none"/>
          </w:rPr>
          <w:t>0</w:t>
        </w:r>
        <w:r w:rsidR="006F77E3" w:rsidRPr="006F77E3">
          <w:rPr>
            <w:rStyle w:val="Hyperlink"/>
            <w:color w:val="auto"/>
            <w:u w:val="none"/>
          </w:rPr>
          <w:t>: Top five agricultural products imported by SA</w:t>
        </w:r>
        <w:r w:rsidR="006F77E3" w:rsidRPr="006F77E3">
          <w:rPr>
            <w:webHidden/>
          </w:rPr>
          <w:tab/>
        </w:r>
        <w:r w:rsidR="006F77E3" w:rsidRPr="006F77E3">
          <w:rPr>
            <w:webHidden/>
          </w:rPr>
          <w:fldChar w:fldCharType="begin"/>
        </w:r>
        <w:r w:rsidR="006F77E3" w:rsidRPr="006F77E3">
          <w:rPr>
            <w:webHidden/>
          </w:rPr>
          <w:instrText xml:space="preserve"> PAGEREF _Toc489537776 \h </w:instrText>
        </w:r>
        <w:r w:rsidR="006F77E3" w:rsidRPr="006F77E3">
          <w:rPr>
            <w:webHidden/>
          </w:rPr>
        </w:r>
        <w:r w:rsidR="006F77E3" w:rsidRPr="006F77E3">
          <w:rPr>
            <w:webHidden/>
          </w:rPr>
          <w:fldChar w:fldCharType="separate"/>
        </w:r>
        <w:r w:rsidR="006F77E3" w:rsidRPr="006F77E3">
          <w:rPr>
            <w:webHidden/>
          </w:rPr>
          <w:t>55</w:t>
        </w:r>
        <w:r w:rsidR="006F77E3" w:rsidRPr="006F77E3">
          <w:rPr>
            <w:webHidden/>
          </w:rPr>
          <w:fldChar w:fldCharType="end"/>
        </w:r>
      </w:hyperlink>
    </w:p>
    <w:p w:rsidR="006F77E3" w:rsidRPr="006F77E3" w:rsidRDefault="002E6059" w:rsidP="001E59A4">
      <w:pPr>
        <w:pStyle w:val="TOC3"/>
        <w:rPr>
          <w:rFonts w:asciiTheme="minorHAnsi" w:hAnsiTheme="minorHAnsi"/>
          <w:sz w:val="22"/>
        </w:rPr>
      </w:pPr>
      <w:hyperlink w:anchor="_Toc489537778" w:history="1">
        <w:r w:rsidR="006F77E3" w:rsidRPr="006F77E3">
          <w:rPr>
            <w:rStyle w:val="Hyperlink"/>
            <w:color w:val="auto"/>
            <w:u w:val="none"/>
          </w:rPr>
          <w:t xml:space="preserve">Figure </w:t>
        </w:r>
        <w:r w:rsidR="00D620B7" w:rsidRPr="006F77E3">
          <w:rPr>
            <w:rStyle w:val="Hyperlink"/>
            <w:color w:val="auto"/>
            <w:u w:val="none"/>
          </w:rPr>
          <w:t>5</w:t>
        </w:r>
        <w:r w:rsidR="00D620B7">
          <w:rPr>
            <w:rStyle w:val="Hyperlink"/>
            <w:color w:val="auto"/>
            <w:u w:val="none"/>
          </w:rPr>
          <w:t>1</w:t>
        </w:r>
        <w:r w:rsidR="006F77E3" w:rsidRPr="006F77E3">
          <w:rPr>
            <w:rStyle w:val="Hyperlink"/>
            <w:color w:val="auto"/>
            <w:u w:val="none"/>
          </w:rPr>
          <w:t>: Trade balance of SA fisheries products</w:t>
        </w:r>
        <w:r w:rsidR="006F77E3" w:rsidRPr="006F77E3">
          <w:rPr>
            <w:webHidden/>
          </w:rPr>
          <w:tab/>
        </w:r>
        <w:r w:rsidR="006F77E3" w:rsidRPr="006F77E3">
          <w:rPr>
            <w:webHidden/>
          </w:rPr>
          <w:fldChar w:fldCharType="begin"/>
        </w:r>
        <w:r w:rsidR="006F77E3" w:rsidRPr="006F77E3">
          <w:rPr>
            <w:webHidden/>
          </w:rPr>
          <w:instrText xml:space="preserve"> PAGEREF _Toc489537778 \h </w:instrText>
        </w:r>
        <w:r w:rsidR="006F77E3" w:rsidRPr="006F77E3">
          <w:rPr>
            <w:webHidden/>
          </w:rPr>
        </w:r>
        <w:r w:rsidR="006F77E3" w:rsidRPr="006F77E3">
          <w:rPr>
            <w:webHidden/>
          </w:rPr>
          <w:fldChar w:fldCharType="separate"/>
        </w:r>
        <w:r w:rsidR="006F77E3" w:rsidRPr="006F77E3">
          <w:rPr>
            <w:webHidden/>
          </w:rPr>
          <w:t>56</w:t>
        </w:r>
        <w:r w:rsidR="006F77E3" w:rsidRPr="006F77E3">
          <w:rPr>
            <w:webHidden/>
          </w:rPr>
          <w:fldChar w:fldCharType="end"/>
        </w:r>
      </w:hyperlink>
    </w:p>
    <w:p w:rsidR="006F77E3" w:rsidRPr="006F77E3" w:rsidRDefault="002E6059" w:rsidP="001E59A4">
      <w:pPr>
        <w:pStyle w:val="TOC3"/>
        <w:rPr>
          <w:rFonts w:asciiTheme="minorHAnsi" w:hAnsiTheme="minorHAnsi"/>
          <w:sz w:val="22"/>
        </w:rPr>
      </w:pPr>
      <w:hyperlink w:anchor="_Toc489537779" w:history="1">
        <w:r w:rsidR="006F77E3" w:rsidRPr="006F77E3">
          <w:rPr>
            <w:rStyle w:val="Hyperlink"/>
            <w:color w:val="auto"/>
            <w:u w:val="none"/>
          </w:rPr>
          <w:t xml:space="preserve">Figure </w:t>
        </w:r>
        <w:r w:rsidR="00D620B7" w:rsidRPr="006F77E3">
          <w:rPr>
            <w:rStyle w:val="Hyperlink"/>
            <w:color w:val="auto"/>
            <w:u w:val="none"/>
          </w:rPr>
          <w:t>5</w:t>
        </w:r>
        <w:r w:rsidR="00D620B7">
          <w:rPr>
            <w:rStyle w:val="Hyperlink"/>
            <w:color w:val="auto"/>
            <w:u w:val="none"/>
          </w:rPr>
          <w:t>2</w:t>
        </w:r>
        <w:r w:rsidR="006F77E3" w:rsidRPr="006F77E3">
          <w:rPr>
            <w:rStyle w:val="Hyperlink"/>
            <w:color w:val="auto"/>
            <w:u w:val="none"/>
          </w:rPr>
          <w:t>: SA top five imported fisheries products</w:t>
        </w:r>
        <w:r w:rsidR="006F77E3" w:rsidRPr="006F77E3">
          <w:rPr>
            <w:webHidden/>
          </w:rPr>
          <w:tab/>
        </w:r>
        <w:r w:rsidR="006F77E3" w:rsidRPr="006F77E3">
          <w:rPr>
            <w:webHidden/>
          </w:rPr>
          <w:fldChar w:fldCharType="begin"/>
        </w:r>
        <w:r w:rsidR="006F77E3" w:rsidRPr="006F77E3">
          <w:rPr>
            <w:webHidden/>
          </w:rPr>
          <w:instrText xml:space="preserve"> PAGEREF _Toc489537779 \h </w:instrText>
        </w:r>
        <w:r w:rsidR="006F77E3" w:rsidRPr="006F77E3">
          <w:rPr>
            <w:webHidden/>
          </w:rPr>
        </w:r>
        <w:r w:rsidR="006F77E3" w:rsidRPr="006F77E3">
          <w:rPr>
            <w:webHidden/>
          </w:rPr>
          <w:fldChar w:fldCharType="separate"/>
        </w:r>
        <w:r w:rsidR="006F77E3" w:rsidRPr="006F77E3">
          <w:rPr>
            <w:webHidden/>
          </w:rPr>
          <w:t>57</w:t>
        </w:r>
        <w:r w:rsidR="006F77E3" w:rsidRPr="006F77E3">
          <w:rPr>
            <w:webHidden/>
          </w:rPr>
          <w:fldChar w:fldCharType="end"/>
        </w:r>
      </w:hyperlink>
    </w:p>
    <w:p w:rsidR="006F77E3" w:rsidRPr="006F77E3" w:rsidRDefault="002E6059" w:rsidP="001E59A4">
      <w:pPr>
        <w:pStyle w:val="TOC3"/>
        <w:rPr>
          <w:rStyle w:val="Hyperlink"/>
          <w:color w:val="auto"/>
          <w:u w:val="none"/>
        </w:rPr>
      </w:pPr>
      <w:hyperlink w:anchor="_Toc489537780" w:history="1">
        <w:r w:rsidR="006F77E3" w:rsidRPr="006F77E3">
          <w:rPr>
            <w:rStyle w:val="Hyperlink"/>
            <w:color w:val="auto"/>
            <w:u w:val="none"/>
          </w:rPr>
          <w:t xml:space="preserve">Figure </w:t>
        </w:r>
        <w:r w:rsidR="00D620B7" w:rsidRPr="006F77E3">
          <w:rPr>
            <w:rStyle w:val="Hyperlink"/>
            <w:color w:val="auto"/>
            <w:u w:val="none"/>
          </w:rPr>
          <w:t>5</w:t>
        </w:r>
        <w:r w:rsidR="00D620B7">
          <w:rPr>
            <w:rStyle w:val="Hyperlink"/>
            <w:color w:val="auto"/>
            <w:u w:val="none"/>
          </w:rPr>
          <w:t>3</w:t>
        </w:r>
        <w:r w:rsidR="006F77E3" w:rsidRPr="006F77E3">
          <w:rPr>
            <w:rStyle w:val="Hyperlink"/>
            <w:color w:val="auto"/>
            <w:u w:val="none"/>
          </w:rPr>
          <w:t>: SA top five exports of fisheries products</w:t>
        </w:r>
        <w:r w:rsidR="006F77E3" w:rsidRPr="006F77E3">
          <w:rPr>
            <w:webHidden/>
          </w:rPr>
          <w:tab/>
        </w:r>
        <w:r w:rsidR="006F77E3" w:rsidRPr="006F77E3">
          <w:rPr>
            <w:webHidden/>
          </w:rPr>
          <w:fldChar w:fldCharType="begin"/>
        </w:r>
        <w:r w:rsidR="006F77E3" w:rsidRPr="006F77E3">
          <w:rPr>
            <w:webHidden/>
          </w:rPr>
          <w:instrText xml:space="preserve"> PAGEREF _Toc489537780 \h </w:instrText>
        </w:r>
        <w:r w:rsidR="006F77E3" w:rsidRPr="006F77E3">
          <w:rPr>
            <w:webHidden/>
          </w:rPr>
        </w:r>
        <w:r w:rsidR="006F77E3" w:rsidRPr="006F77E3">
          <w:rPr>
            <w:webHidden/>
          </w:rPr>
          <w:fldChar w:fldCharType="separate"/>
        </w:r>
        <w:r w:rsidR="006F77E3" w:rsidRPr="006F77E3">
          <w:rPr>
            <w:webHidden/>
          </w:rPr>
          <w:t>57</w:t>
        </w:r>
        <w:r w:rsidR="006F77E3" w:rsidRPr="006F77E3">
          <w:rPr>
            <w:webHidden/>
          </w:rPr>
          <w:fldChar w:fldCharType="end"/>
        </w:r>
      </w:hyperlink>
    </w:p>
    <w:p w:rsidR="006F77E3" w:rsidRPr="006F77E3" w:rsidRDefault="002E6059" w:rsidP="001E59A4">
      <w:pPr>
        <w:pStyle w:val="TOC3"/>
        <w:rPr>
          <w:rFonts w:asciiTheme="minorHAnsi" w:hAnsiTheme="minorHAnsi"/>
          <w:sz w:val="22"/>
        </w:rPr>
      </w:pPr>
      <w:hyperlink w:anchor="_Toc489537782" w:history="1">
        <w:r w:rsidR="006F77E3" w:rsidRPr="006F77E3">
          <w:rPr>
            <w:rStyle w:val="Hyperlink"/>
            <w:color w:val="auto"/>
            <w:u w:val="none"/>
          </w:rPr>
          <w:t xml:space="preserve">Figure </w:t>
        </w:r>
        <w:r w:rsidR="00D620B7" w:rsidRPr="006F77E3">
          <w:rPr>
            <w:rStyle w:val="Hyperlink"/>
            <w:color w:val="auto"/>
            <w:u w:val="none"/>
          </w:rPr>
          <w:t>5</w:t>
        </w:r>
        <w:r w:rsidR="00D620B7">
          <w:rPr>
            <w:rStyle w:val="Hyperlink"/>
            <w:color w:val="auto"/>
            <w:u w:val="none"/>
          </w:rPr>
          <w:t>4</w:t>
        </w:r>
        <w:r w:rsidR="006F77E3" w:rsidRPr="006F77E3">
          <w:rPr>
            <w:rStyle w:val="Hyperlink"/>
            <w:color w:val="auto"/>
            <w:u w:val="none"/>
          </w:rPr>
          <w:t>: Trade balance of SA forestry products</w:t>
        </w:r>
        <w:r w:rsidR="006F77E3" w:rsidRPr="006F77E3">
          <w:rPr>
            <w:webHidden/>
          </w:rPr>
          <w:tab/>
        </w:r>
        <w:r w:rsidR="006F77E3" w:rsidRPr="006F77E3">
          <w:rPr>
            <w:webHidden/>
          </w:rPr>
          <w:fldChar w:fldCharType="begin"/>
        </w:r>
        <w:r w:rsidR="006F77E3" w:rsidRPr="006F77E3">
          <w:rPr>
            <w:webHidden/>
          </w:rPr>
          <w:instrText xml:space="preserve"> PAGEREF _Toc489537782 \h </w:instrText>
        </w:r>
        <w:r w:rsidR="006F77E3" w:rsidRPr="006F77E3">
          <w:rPr>
            <w:webHidden/>
          </w:rPr>
        </w:r>
        <w:r w:rsidR="006F77E3" w:rsidRPr="006F77E3">
          <w:rPr>
            <w:webHidden/>
          </w:rPr>
          <w:fldChar w:fldCharType="separate"/>
        </w:r>
        <w:r w:rsidR="006F77E3" w:rsidRPr="006F77E3">
          <w:rPr>
            <w:webHidden/>
          </w:rPr>
          <w:t>58</w:t>
        </w:r>
        <w:r w:rsidR="006F77E3" w:rsidRPr="006F77E3">
          <w:rPr>
            <w:webHidden/>
          </w:rPr>
          <w:fldChar w:fldCharType="end"/>
        </w:r>
      </w:hyperlink>
    </w:p>
    <w:p w:rsidR="006F77E3" w:rsidRPr="006F77E3" w:rsidRDefault="002E6059" w:rsidP="001E59A4">
      <w:pPr>
        <w:pStyle w:val="TOC3"/>
        <w:rPr>
          <w:rFonts w:asciiTheme="minorHAnsi" w:hAnsiTheme="minorHAnsi"/>
          <w:sz w:val="22"/>
        </w:rPr>
      </w:pPr>
      <w:hyperlink w:anchor="_Toc489537783" w:history="1">
        <w:r w:rsidR="006F77E3" w:rsidRPr="006F77E3">
          <w:rPr>
            <w:rStyle w:val="Hyperlink"/>
            <w:color w:val="auto"/>
            <w:u w:val="none"/>
          </w:rPr>
          <w:t xml:space="preserve">Figure </w:t>
        </w:r>
        <w:r w:rsidR="00D620B7" w:rsidRPr="006F77E3">
          <w:rPr>
            <w:rStyle w:val="Hyperlink"/>
            <w:color w:val="auto"/>
            <w:u w:val="none"/>
          </w:rPr>
          <w:t>5</w:t>
        </w:r>
        <w:r w:rsidR="00D620B7">
          <w:rPr>
            <w:rStyle w:val="Hyperlink"/>
            <w:color w:val="auto"/>
            <w:u w:val="none"/>
          </w:rPr>
          <w:t>5</w:t>
        </w:r>
        <w:r w:rsidR="006F77E3" w:rsidRPr="006F77E3">
          <w:rPr>
            <w:rStyle w:val="Hyperlink"/>
            <w:color w:val="auto"/>
            <w:u w:val="none"/>
          </w:rPr>
          <w:t>: SA top five exports of forestry products</w:t>
        </w:r>
        <w:r w:rsidR="006F77E3" w:rsidRPr="006F77E3">
          <w:rPr>
            <w:webHidden/>
          </w:rPr>
          <w:tab/>
        </w:r>
        <w:r w:rsidR="006F77E3" w:rsidRPr="006F77E3">
          <w:rPr>
            <w:webHidden/>
          </w:rPr>
          <w:fldChar w:fldCharType="begin"/>
        </w:r>
        <w:r w:rsidR="006F77E3" w:rsidRPr="006F77E3">
          <w:rPr>
            <w:webHidden/>
          </w:rPr>
          <w:instrText xml:space="preserve"> PAGEREF _Toc489537783 \h </w:instrText>
        </w:r>
        <w:r w:rsidR="006F77E3" w:rsidRPr="006F77E3">
          <w:rPr>
            <w:webHidden/>
          </w:rPr>
        </w:r>
        <w:r w:rsidR="006F77E3" w:rsidRPr="006F77E3">
          <w:rPr>
            <w:webHidden/>
          </w:rPr>
          <w:fldChar w:fldCharType="separate"/>
        </w:r>
        <w:r w:rsidR="006F77E3" w:rsidRPr="006F77E3">
          <w:rPr>
            <w:webHidden/>
          </w:rPr>
          <w:t>59</w:t>
        </w:r>
        <w:r w:rsidR="006F77E3" w:rsidRPr="006F77E3">
          <w:rPr>
            <w:webHidden/>
          </w:rPr>
          <w:fldChar w:fldCharType="end"/>
        </w:r>
      </w:hyperlink>
    </w:p>
    <w:p w:rsidR="006F77E3" w:rsidRPr="006F77E3" w:rsidRDefault="002E6059" w:rsidP="001E59A4">
      <w:pPr>
        <w:pStyle w:val="TOC3"/>
        <w:rPr>
          <w:rFonts w:asciiTheme="minorHAnsi" w:hAnsiTheme="minorHAnsi"/>
          <w:sz w:val="22"/>
        </w:rPr>
      </w:pPr>
      <w:hyperlink w:anchor="_Toc489537784" w:history="1">
        <w:r w:rsidR="006F77E3" w:rsidRPr="006F77E3">
          <w:rPr>
            <w:rStyle w:val="Hyperlink"/>
            <w:color w:val="auto"/>
            <w:u w:val="none"/>
          </w:rPr>
          <w:t xml:space="preserve">Figure </w:t>
        </w:r>
        <w:r w:rsidR="00D620B7" w:rsidRPr="006F77E3">
          <w:rPr>
            <w:rStyle w:val="Hyperlink"/>
            <w:color w:val="auto"/>
            <w:u w:val="none"/>
          </w:rPr>
          <w:t>5</w:t>
        </w:r>
        <w:r w:rsidR="00D620B7">
          <w:rPr>
            <w:rStyle w:val="Hyperlink"/>
            <w:color w:val="auto"/>
            <w:u w:val="none"/>
          </w:rPr>
          <w:t>6</w:t>
        </w:r>
        <w:r w:rsidR="006F77E3" w:rsidRPr="006F77E3">
          <w:rPr>
            <w:rStyle w:val="Hyperlink"/>
            <w:color w:val="auto"/>
            <w:u w:val="none"/>
          </w:rPr>
          <w:t>: SA top five imports of forestry products</w:t>
        </w:r>
        <w:r w:rsidR="006F77E3" w:rsidRPr="006F77E3">
          <w:rPr>
            <w:webHidden/>
          </w:rPr>
          <w:tab/>
        </w:r>
        <w:r w:rsidR="006F77E3" w:rsidRPr="006F77E3">
          <w:rPr>
            <w:webHidden/>
          </w:rPr>
          <w:fldChar w:fldCharType="begin"/>
        </w:r>
        <w:r w:rsidR="006F77E3" w:rsidRPr="006F77E3">
          <w:rPr>
            <w:webHidden/>
          </w:rPr>
          <w:instrText xml:space="preserve"> PAGEREF _Toc489537784 \h </w:instrText>
        </w:r>
        <w:r w:rsidR="006F77E3" w:rsidRPr="006F77E3">
          <w:rPr>
            <w:webHidden/>
          </w:rPr>
        </w:r>
        <w:r w:rsidR="006F77E3" w:rsidRPr="006F77E3">
          <w:rPr>
            <w:webHidden/>
          </w:rPr>
          <w:fldChar w:fldCharType="separate"/>
        </w:r>
        <w:r w:rsidR="006F77E3" w:rsidRPr="006F77E3">
          <w:rPr>
            <w:webHidden/>
          </w:rPr>
          <w:t>59</w:t>
        </w:r>
        <w:r w:rsidR="006F77E3" w:rsidRPr="006F77E3">
          <w:rPr>
            <w:webHidden/>
          </w:rPr>
          <w:fldChar w:fldCharType="end"/>
        </w:r>
      </w:hyperlink>
    </w:p>
    <w:p w:rsidR="006F77E3" w:rsidRPr="006F77E3" w:rsidRDefault="006F77E3" w:rsidP="006F77E3"/>
    <w:p w:rsidR="006F77E3" w:rsidRPr="006F77E3" w:rsidRDefault="006F77E3" w:rsidP="006F77E3"/>
    <w:p w:rsidR="006F77E3" w:rsidRPr="006F77E3" w:rsidRDefault="006F77E3" w:rsidP="006F77E3"/>
    <w:p w:rsidR="006F77E3" w:rsidRPr="006F77E3" w:rsidRDefault="006F77E3" w:rsidP="006F77E3"/>
    <w:p w:rsidR="006F77E3" w:rsidRPr="006F77E3" w:rsidRDefault="006F77E3" w:rsidP="006F77E3"/>
    <w:p w:rsidR="006F77E3" w:rsidRPr="006F77E3" w:rsidRDefault="006F77E3" w:rsidP="006F77E3"/>
    <w:p w:rsidR="006F77E3" w:rsidRPr="006F77E3" w:rsidRDefault="006F77E3" w:rsidP="006F77E3"/>
    <w:p w:rsidR="006F77E3" w:rsidRPr="006F77E3" w:rsidRDefault="006F77E3" w:rsidP="006F77E3"/>
    <w:p w:rsidR="006F77E3" w:rsidRPr="006F77E3" w:rsidRDefault="006F77E3" w:rsidP="006F77E3"/>
    <w:p w:rsidR="006F77E3" w:rsidRPr="006F77E3" w:rsidRDefault="006F77E3" w:rsidP="006F77E3"/>
    <w:p w:rsidR="006F77E3" w:rsidRPr="006F77E3" w:rsidRDefault="006F77E3" w:rsidP="006F77E3"/>
    <w:p w:rsidR="006F77E3" w:rsidRDefault="006F77E3" w:rsidP="00C5290F"/>
    <w:p w:rsidR="00C5290F" w:rsidRDefault="00C5290F" w:rsidP="00C5290F"/>
    <w:p w:rsidR="00C5290F" w:rsidRDefault="00C5290F" w:rsidP="00C5290F"/>
    <w:p w:rsidR="00C5290F" w:rsidRDefault="00C5290F" w:rsidP="00C5290F"/>
    <w:p w:rsidR="00C5290F" w:rsidRDefault="00C5290F" w:rsidP="00C5290F"/>
    <w:p w:rsidR="00C5290F" w:rsidRDefault="00C5290F" w:rsidP="00C5290F">
      <w:pPr>
        <w:pStyle w:val="Heading2"/>
      </w:pPr>
      <w:r>
        <w:t>List of Tables</w:t>
      </w:r>
    </w:p>
    <w:p w:rsidR="00C5290F" w:rsidRPr="00C5290F" w:rsidRDefault="00C5290F" w:rsidP="00C5290F"/>
    <w:p w:rsidR="001E59A4" w:rsidRDefault="001E59A4" w:rsidP="001E59A4">
      <w:pPr>
        <w:pStyle w:val="TOC3"/>
        <w:rPr>
          <w:rStyle w:val="Hyperlink"/>
        </w:rPr>
      </w:pPr>
      <w:r w:rsidRPr="00C075CC">
        <w:rPr>
          <w:rStyle w:val="Heading3Char"/>
          <w:b/>
        </w:rPr>
        <w:t>Table 1:</w:t>
      </w:r>
      <w:r w:rsidRPr="00C075CC">
        <w:rPr>
          <w:rStyle w:val="Heading3Char"/>
        </w:rPr>
        <w:t xml:space="preserve"> Soybean projections for 2016</w:t>
      </w:r>
      <w:r>
        <w:rPr>
          <w:rStyle w:val="Heading3Char"/>
        </w:rPr>
        <w:t>……………………………………………………………………………</w:t>
      </w:r>
      <w:r w:rsidR="007500FB">
        <w:rPr>
          <w:rStyle w:val="Heading3Char"/>
        </w:rPr>
        <w:t>.31</w:t>
      </w:r>
    </w:p>
    <w:p w:rsidR="00C5290F" w:rsidRPr="001E59A4" w:rsidRDefault="002E6059" w:rsidP="001E59A4">
      <w:pPr>
        <w:pStyle w:val="TOC3"/>
        <w:rPr>
          <w:rFonts w:asciiTheme="minorHAnsi" w:hAnsiTheme="minorHAnsi"/>
          <w:sz w:val="22"/>
        </w:rPr>
      </w:pPr>
      <w:hyperlink w:anchor="_Toc489537738" w:history="1">
        <w:r w:rsidR="00C5290F" w:rsidRPr="001E59A4">
          <w:rPr>
            <w:rStyle w:val="Hyperlink"/>
            <w:color w:val="auto"/>
            <w:u w:val="none"/>
          </w:rPr>
          <w:t>Table 2: Production &amp; Use Table</w:t>
        </w:r>
        <w:r w:rsidR="00C5290F" w:rsidRPr="001E59A4">
          <w:rPr>
            <w:webHidden/>
          </w:rPr>
          <w:tab/>
        </w:r>
        <w:r w:rsidR="00C5290F" w:rsidRPr="001E59A4">
          <w:rPr>
            <w:webHidden/>
          </w:rPr>
          <w:fldChar w:fldCharType="begin"/>
        </w:r>
        <w:r w:rsidR="00C5290F" w:rsidRPr="001E59A4">
          <w:rPr>
            <w:webHidden/>
          </w:rPr>
          <w:instrText xml:space="preserve"> PAGEREF _Toc489537738 \h </w:instrText>
        </w:r>
        <w:r w:rsidR="00C5290F" w:rsidRPr="001E59A4">
          <w:rPr>
            <w:webHidden/>
          </w:rPr>
        </w:r>
        <w:r w:rsidR="00C5290F" w:rsidRPr="001E59A4">
          <w:rPr>
            <w:webHidden/>
          </w:rPr>
          <w:fldChar w:fldCharType="separate"/>
        </w:r>
        <w:r w:rsidR="00C5290F" w:rsidRPr="001E59A4">
          <w:rPr>
            <w:webHidden/>
          </w:rPr>
          <w:t>34</w:t>
        </w:r>
        <w:r w:rsidR="00C5290F" w:rsidRPr="001E59A4">
          <w:rPr>
            <w:webHidden/>
          </w:rPr>
          <w:fldChar w:fldCharType="end"/>
        </w:r>
      </w:hyperlink>
    </w:p>
    <w:p w:rsidR="00C5290F" w:rsidRDefault="00C5290F" w:rsidP="00C5290F"/>
    <w:p w:rsidR="001E59A4" w:rsidRDefault="001E59A4" w:rsidP="00C5290F"/>
    <w:p w:rsidR="001E59A4" w:rsidRDefault="001E59A4" w:rsidP="00C5290F"/>
    <w:p w:rsidR="001E59A4" w:rsidRDefault="001E59A4" w:rsidP="00C5290F"/>
    <w:p w:rsidR="001E59A4" w:rsidRDefault="001E59A4" w:rsidP="00C5290F"/>
    <w:p w:rsidR="001E59A4" w:rsidRDefault="001E59A4" w:rsidP="00C5290F"/>
    <w:p w:rsidR="001E59A4" w:rsidRDefault="001E59A4" w:rsidP="00C5290F"/>
    <w:p w:rsidR="001E59A4" w:rsidRDefault="001E59A4" w:rsidP="00C5290F"/>
    <w:p w:rsidR="001E59A4" w:rsidRDefault="001E59A4" w:rsidP="00C5290F"/>
    <w:p w:rsidR="001E59A4" w:rsidRDefault="001E59A4" w:rsidP="00C5290F"/>
    <w:p w:rsidR="001E59A4" w:rsidRDefault="001E59A4" w:rsidP="00C5290F"/>
    <w:p w:rsidR="001E59A4" w:rsidRDefault="001E59A4" w:rsidP="00C5290F"/>
    <w:p w:rsidR="001E59A4" w:rsidRDefault="001E59A4" w:rsidP="00C5290F"/>
    <w:p w:rsidR="001E59A4" w:rsidRDefault="001E59A4" w:rsidP="00C5290F"/>
    <w:p w:rsidR="001E59A4" w:rsidRDefault="001E59A4" w:rsidP="00C5290F"/>
    <w:p w:rsidR="001E59A4" w:rsidRDefault="001E59A4" w:rsidP="00C5290F"/>
    <w:p w:rsidR="001E59A4" w:rsidRDefault="001E59A4" w:rsidP="00C5290F"/>
    <w:p w:rsidR="001E59A4" w:rsidRDefault="001E59A4" w:rsidP="00C5290F"/>
    <w:p w:rsidR="001E59A4" w:rsidRDefault="001E59A4" w:rsidP="00C5290F"/>
    <w:p w:rsidR="001E59A4" w:rsidRDefault="001E59A4" w:rsidP="00C5290F"/>
    <w:p w:rsidR="001E59A4" w:rsidRDefault="001E59A4" w:rsidP="00C5290F"/>
    <w:p w:rsidR="001E59A4" w:rsidRDefault="001E59A4" w:rsidP="00C5290F"/>
    <w:p w:rsidR="001E59A4" w:rsidRDefault="001E59A4" w:rsidP="00C5290F"/>
    <w:p w:rsidR="001E59A4" w:rsidRDefault="001E59A4" w:rsidP="00C5290F"/>
    <w:p w:rsidR="001E59A4" w:rsidRDefault="001E59A4" w:rsidP="00C5290F"/>
    <w:p w:rsidR="001E59A4" w:rsidRDefault="001E59A4" w:rsidP="00C5290F"/>
    <w:p w:rsidR="001E59A4" w:rsidRDefault="001E59A4" w:rsidP="00C5290F"/>
    <w:p w:rsidR="001E59A4" w:rsidRDefault="001E59A4" w:rsidP="00C5290F"/>
    <w:sdt>
      <w:sdtPr>
        <w:rPr>
          <w:rFonts w:ascii="Arial" w:eastAsiaTheme="minorEastAsia" w:hAnsi="Arial" w:cstheme="minorBidi"/>
          <w:b w:val="0"/>
          <w:bCs w:val="0"/>
          <w:color w:val="auto"/>
          <w:sz w:val="18"/>
          <w:szCs w:val="22"/>
          <w:lang w:val="en-ZA" w:eastAsia="en-ZA"/>
        </w:rPr>
        <w:id w:val="1752319515"/>
        <w:docPartObj>
          <w:docPartGallery w:val="Table of Contents"/>
          <w:docPartUnique/>
        </w:docPartObj>
      </w:sdtPr>
      <w:sdtEndPr>
        <w:rPr>
          <w:noProof/>
        </w:rPr>
      </w:sdtEndPr>
      <w:sdtContent>
        <w:p w:rsidR="00B22323" w:rsidRPr="00222B4E" w:rsidRDefault="00B22323">
          <w:pPr>
            <w:pStyle w:val="TOCHeading"/>
            <w:rPr>
              <w:color w:val="auto"/>
            </w:rPr>
          </w:pPr>
          <w:r w:rsidRPr="00222B4E">
            <w:rPr>
              <w:color w:val="auto"/>
            </w:rPr>
            <w:t>Table of Contents</w:t>
          </w:r>
        </w:p>
        <w:p w:rsidR="00C5290F" w:rsidRDefault="00B22323">
          <w:pPr>
            <w:pStyle w:val="TOC1"/>
            <w:tabs>
              <w:tab w:val="right" w:leader="dot" w:pos="9016"/>
            </w:tabs>
            <w:rPr>
              <w:rFonts w:asciiTheme="minorHAnsi" w:hAnsiTheme="minorHAnsi"/>
              <w:noProof/>
              <w:sz w:val="22"/>
            </w:rPr>
          </w:pPr>
          <w:r>
            <w:fldChar w:fldCharType="begin"/>
          </w:r>
          <w:r>
            <w:instrText xml:space="preserve"> TOC \o "1-3" \h \z \u </w:instrText>
          </w:r>
          <w:r>
            <w:fldChar w:fldCharType="separate"/>
          </w:r>
          <w:hyperlink r:id="rId10" w:anchor="_Toc489537692" w:history="1">
            <w:r w:rsidR="00C5290F" w:rsidRPr="006A4FF5">
              <w:rPr>
                <w:rStyle w:val="Hyperlink"/>
                <w:rFonts w:ascii="AvantGarde Bk BT" w:hAnsi="AvantGarde Bk BT"/>
                <w:noProof/>
              </w:rPr>
              <w:t>PREFACE</w:t>
            </w:r>
            <w:r w:rsidR="00C5290F">
              <w:rPr>
                <w:noProof/>
                <w:webHidden/>
              </w:rPr>
              <w:tab/>
            </w:r>
            <w:r w:rsidR="00C5290F">
              <w:rPr>
                <w:noProof/>
                <w:webHidden/>
              </w:rPr>
              <w:fldChar w:fldCharType="begin"/>
            </w:r>
            <w:r w:rsidR="00C5290F">
              <w:rPr>
                <w:noProof/>
                <w:webHidden/>
              </w:rPr>
              <w:instrText xml:space="preserve"> PAGEREF _Toc489537692 \h </w:instrText>
            </w:r>
            <w:r w:rsidR="00C5290F">
              <w:rPr>
                <w:noProof/>
                <w:webHidden/>
              </w:rPr>
            </w:r>
            <w:r w:rsidR="00C5290F">
              <w:rPr>
                <w:noProof/>
                <w:webHidden/>
              </w:rPr>
              <w:fldChar w:fldCharType="separate"/>
            </w:r>
            <w:r w:rsidR="00C5290F">
              <w:rPr>
                <w:noProof/>
                <w:webHidden/>
              </w:rPr>
              <w:t>1</w:t>
            </w:r>
            <w:r w:rsidR="00C5290F">
              <w:rPr>
                <w:noProof/>
                <w:webHidden/>
              </w:rPr>
              <w:fldChar w:fldCharType="end"/>
            </w:r>
          </w:hyperlink>
        </w:p>
        <w:p w:rsidR="00C5290F" w:rsidRDefault="002E6059">
          <w:pPr>
            <w:pStyle w:val="TOC1"/>
            <w:tabs>
              <w:tab w:val="right" w:leader="dot" w:pos="9016"/>
            </w:tabs>
            <w:rPr>
              <w:rStyle w:val="Hyperlink"/>
              <w:noProof/>
            </w:rPr>
          </w:pPr>
          <w:hyperlink r:id="rId11" w:anchor="_Toc489537693" w:history="1">
            <w:r w:rsidR="00C5290F" w:rsidRPr="006A4FF5">
              <w:rPr>
                <w:rStyle w:val="Hyperlink"/>
                <w:rFonts w:ascii="Arial Black" w:hAnsi="Arial Black"/>
                <w:noProof/>
              </w:rPr>
              <w:t>List of figures</w:t>
            </w:r>
            <w:r w:rsidR="00C5290F">
              <w:rPr>
                <w:noProof/>
                <w:webHidden/>
              </w:rPr>
              <w:tab/>
            </w:r>
            <w:r w:rsidR="00C5290F">
              <w:rPr>
                <w:noProof/>
                <w:webHidden/>
              </w:rPr>
              <w:fldChar w:fldCharType="begin"/>
            </w:r>
            <w:r w:rsidR="00C5290F">
              <w:rPr>
                <w:noProof/>
                <w:webHidden/>
              </w:rPr>
              <w:instrText xml:space="preserve"> PAGEREF _Toc489537693 \h </w:instrText>
            </w:r>
            <w:r w:rsidR="00C5290F">
              <w:rPr>
                <w:noProof/>
                <w:webHidden/>
              </w:rPr>
            </w:r>
            <w:r w:rsidR="00C5290F">
              <w:rPr>
                <w:noProof/>
                <w:webHidden/>
              </w:rPr>
              <w:fldChar w:fldCharType="separate"/>
            </w:r>
            <w:r w:rsidR="00C5290F">
              <w:rPr>
                <w:noProof/>
                <w:webHidden/>
              </w:rPr>
              <w:t>1</w:t>
            </w:r>
            <w:r w:rsidR="00C5290F">
              <w:rPr>
                <w:noProof/>
                <w:webHidden/>
              </w:rPr>
              <w:fldChar w:fldCharType="end"/>
            </w:r>
          </w:hyperlink>
        </w:p>
        <w:p w:rsidR="00FD14BA" w:rsidRPr="00FD14BA" w:rsidRDefault="00FD14BA" w:rsidP="00FD14BA">
          <w:pPr>
            <w:pStyle w:val="Heading2"/>
            <w:rPr>
              <w:rFonts w:ascii="Arial Black" w:hAnsi="Arial Black"/>
              <w:sz w:val="18"/>
              <w:szCs w:val="18"/>
            </w:rPr>
          </w:pPr>
          <w:r w:rsidRPr="00FD14BA">
            <w:rPr>
              <w:rFonts w:ascii="Arial Black" w:hAnsi="Arial Black"/>
              <w:sz w:val="18"/>
              <w:szCs w:val="18"/>
            </w:rPr>
            <w:t>List of Tables</w:t>
          </w:r>
          <w:r w:rsidRPr="00FD14BA">
            <w:rPr>
              <w:rFonts w:cs="Arial"/>
              <w:b w:val="0"/>
              <w:sz w:val="18"/>
              <w:szCs w:val="18"/>
            </w:rPr>
            <w:t>……………………………………………………………………………………………………………..2</w:t>
          </w:r>
        </w:p>
        <w:p w:rsidR="00C5290F" w:rsidRDefault="002E6059">
          <w:pPr>
            <w:pStyle w:val="TOC1"/>
            <w:tabs>
              <w:tab w:val="left" w:pos="440"/>
              <w:tab w:val="right" w:leader="dot" w:pos="9016"/>
            </w:tabs>
            <w:rPr>
              <w:rFonts w:asciiTheme="minorHAnsi" w:hAnsiTheme="minorHAnsi"/>
              <w:noProof/>
              <w:sz w:val="22"/>
            </w:rPr>
          </w:pPr>
          <w:hyperlink r:id="rId12" w:anchor="_Toc489537694" w:history="1">
            <w:r w:rsidR="00C5290F" w:rsidRPr="006A4FF5">
              <w:rPr>
                <w:rStyle w:val="Hyperlink"/>
                <w:rFonts w:ascii="AvantGarde Bk BT" w:hAnsi="AvantGarde Bk BT"/>
                <w:noProof/>
              </w:rPr>
              <w:t>1</w:t>
            </w:r>
            <w:r w:rsidR="00C5290F">
              <w:rPr>
                <w:rFonts w:asciiTheme="minorHAnsi" w:hAnsiTheme="minorHAnsi"/>
                <w:noProof/>
                <w:sz w:val="22"/>
              </w:rPr>
              <w:tab/>
            </w:r>
            <w:r w:rsidR="00C5290F" w:rsidRPr="006A4FF5">
              <w:rPr>
                <w:rStyle w:val="Hyperlink"/>
                <w:rFonts w:ascii="AvantGarde Bk BT" w:hAnsi="AvantGarde Bk BT"/>
                <w:noProof/>
              </w:rPr>
              <w:t>EXECUTIVE SUMMARY</w:t>
            </w:r>
            <w:r w:rsidR="00C5290F">
              <w:rPr>
                <w:noProof/>
                <w:webHidden/>
              </w:rPr>
              <w:tab/>
            </w:r>
            <w:r w:rsidR="00C5290F">
              <w:rPr>
                <w:noProof/>
                <w:webHidden/>
              </w:rPr>
              <w:fldChar w:fldCharType="begin"/>
            </w:r>
            <w:r w:rsidR="00C5290F">
              <w:rPr>
                <w:noProof/>
                <w:webHidden/>
              </w:rPr>
              <w:instrText xml:space="preserve"> PAGEREF _Toc489537694 \h </w:instrText>
            </w:r>
            <w:r w:rsidR="00C5290F">
              <w:rPr>
                <w:noProof/>
                <w:webHidden/>
              </w:rPr>
            </w:r>
            <w:r w:rsidR="00C5290F">
              <w:rPr>
                <w:noProof/>
                <w:webHidden/>
              </w:rPr>
              <w:fldChar w:fldCharType="separate"/>
            </w:r>
            <w:r w:rsidR="00C5290F">
              <w:rPr>
                <w:noProof/>
                <w:webHidden/>
              </w:rPr>
              <w:t>7</w:t>
            </w:r>
            <w:r w:rsidR="00C5290F">
              <w:rPr>
                <w:noProof/>
                <w:webHidden/>
              </w:rPr>
              <w:fldChar w:fldCharType="end"/>
            </w:r>
          </w:hyperlink>
        </w:p>
        <w:p w:rsidR="00C5290F" w:rsidRDefault="002E6059">
          <w:pPr>
            <w:pStyle w:val="TOC1"/>
            <w:tabs>
              <w:tab w:val="right" w:leader="dot" w:pos="9016"/>
            </w:tabs>
            <w:rPr>
              <w:rFonts w:asciiTheme="minorHAnsi" w:hAnsiTheme="minorHAnsi"/>
              <w:noProof/>
              <w:sz w:val="22"/>
            </w:rPr>
          </w:pPr>
          <w:hyperlink r:id="rId13" w:anchor="_Toc489537695" w:history="1">
            <w:r w:rsidR="00C5290F" w:rsidRPr="006A4FF5">
              <w:rPr>
                <w:rStyle w:val="Hyperlink"/>
                <w:noProof/>
              </w:rPr>
              <w:t>1   GLOBAL OVERVIEW OF THE AGRICULTURE, FORESTRY AND FISHERIES ECONOMY</w:t>
            </w:r>
            <w:r w:rsidR="00C5290F">
              <w:rPr>
                <w:noProof/>
                <w:webHidden/>
              </w:rPr>
              <w:tab/>
            </w:r>
            <w:r w:rsidR="00C5290F">
              <w:rPr>
                <w:noProof/>
                <w:webHidden/>
              </w:rPr>
              <w:fldChar w:fldCharType="begin"/>
            </w:r>
            <w:r w:rsidR="00C5290F">
              <w:rPr>
                <w:noProof/>
                <w:webHidden/>
              </w:rPr>
              <w:instrText xml:space="preserve"> PAGEREF _Toc489537695 \h </w:instrText>
            </w:r>
            <w:r w:rsidR="00C5290F">
              <w:rPr>
                <w:noProof/>
                <w:webHidden/>
              </w:rPr>
            </w:r>
            <w:r w:rsidR="00C5290F">
              <w:rPr>
                <w:noProof/>
                <w:webHidden/>
              </w:rPr>
              <w:fldChar w:fldCharType="separate"/>
            </w:r>
            <w:r w:rsidR="00C5290F">
              <w:rPr>
                <w:noProof/>
                <w:webHidden/>
              </w:rPr>
              <w:t>8</w:t>
            </w:r>
            <w:r w:rsidR="00C5290F">
              <w:rPr>
                <w:noProof/>
                <w:webHidden/>
              </w:rPr>
              <w:fldChar w:fldCharType="end"/>
            </w:r>
          </w:hyperlink>
        </w:p>
        <w:p w:rsidR="00C5290F" w:rsidRDefault="002E6059">
          <w:pPr>
            <w:pStyle w:val="TOC2"/>
            <w:tabs>
              <w:tab w:val="left" w:pos="880"/>
              <w:tab w:val="right" w:leader="dot" w:pos="9016"/>
            </w:tabs>
            <w:rPr>
              <w:rFonts w:asciiTheme="minorHAnsi" w:hAnsiTheme="minorHAnsi"/>
              <w:noProof/>
              <w:sz w:val="22"/>
            </w:rPr>
          </w:pPr>
          <w:hyperlink w:anchor="_Toc489537696" w:history="1">
            <w:r w:rsidR="00C5290F" w:rsidRPr="006A4FF5">
              <w:rPr>
                <w:rStyle w:val="Hyperlink"/>
                <w:rFonts w:cs="Arial"/>
                <w:noProof/>
              </w:rPr>
              <w:t>1.1</w:t>
            </w:r>
            <w:r w:rsidR="00C5290F">
              <w:rPr>
                <w:rFonts w:asciiTheme="minorHAnsi" w:hAnsiTheme="minorHAnsi"/>
                <w:noProof/>
                <w:sz w:val="22"/>
              </w:rPr>
              <w:tab/>
            </w:r>
            <w:r w:rsidR="00C5290F" w:rsidRPr="006A4FF5">
              <w:rPr>
                <w:rStyle w:val="Hyperlink"/>
                <w:rFonts w:cs="Arial"/>
                <w:noProof/>
              </w:rPr>
              <w:t>Global Real GDP Growth Rates</w:t>
            </w:r>
            <w:r w:rsidR="00C5290F">
              <w:rPr>
                <w:noProof/>
                <w:webHidden/>
              </w:rPr>
              <w:tab/>
            </w:r>
            <w:r w:rsidR="00C5290F">
              <w:rPr>
                <w:noProof/>
                <w:webHidden/>
              </w:rPr>
              <w:fldChar w:fldCharType="begin"/>
            </w:r>
            <w:r w:rsidR="00C5290F">
              <w:rPr>
                <w:noProof/>
                <w:webHidden/>
              </w:rPr>
              <w:instrText xml:space="preserve"> PAGEREF _Toc489537696 \h </w:instrText>
            </w:r>
            <w:r w:rsidR="00C5290F">
              <w:rPr>
                <w:noProof/>
                <w:webHidden/>
              </w:rPr>
            </w:r>
            <w:r w:rsidR="00C5290F">
              <w:rPr>
                <w:noProof/>
                <w:webHidden/>
              </w:rPr>
              <w:fldChar w:fldCharType="separate"/>
            </w:r>
            <w:r w:rsidR="00C5290F">
              <w:rPr>
                <w:noProof/>
                <w:webHidden/>
              </w:rPr>
              <w:t>8</w:t>
            </w:r>
            <w:r w:rsidR="00C5290F">
              <w:rPr>
                <w:noProof/>
                <w:webHidden/>
              </w:rPr>
              <w:fldChar w:fldCharType="end"/>
            </w:r>
          </w:hyperlink>
        </w:p>
        <w:p w:rsidR="00C5290F" w:rsidRDefault="002E6059">
          <w:pPr>
            <w:pStyle w:val="TOC2"/>
            <w:tabs>
              <w:tab w:val="left" w:pos="880"/>
              <w:tab w:val="right" w:leader="dot" w:pos="9016"/>
            </w:tabs>
            <w:rPr>
              <w:rFonts w:asciiTheme="minorHAnsi" w:hAnsiTheme="minorHAnsi"/>
              <w:noProof/>
              <w:sz w:val="22"/>
            </w:rPr>
          </w:pPr>
          <w:hyperlink w:anchor="_Toc489537699" w:history="1">
            <w:r w:rsidR="00C5290F" w:rsidRPr="006A4FF5">
              <w:rPr>
                <w:rStyle w:val="Hyperlink"/>
                <w:noProof/>
              </w:rPr>
              <w:t>1.2</w:t>
            </w:r>
            <w:r w:rsidR="00C5290F">
              <w:rPr>
                <w:rFonts w:asciiTheme="minorHAnsi" w:hAnsiTheme="minorHAnsi"/>
                <w:noProof/>
                <w:sz w:val="22"/>
              </w:rPr>
              <w:tab/>
            </w:r>
            <w:r w:rsidR="00C5290F" w:rsidRPr="006A4FF5">
              <w:rPr>
                <w:rStyle w:val="Hyperlink"/>
                <w:noProof/>
              </w:rPr>
              <w:t>Global Grain forecast</w:t>
            </w:r>
            <w:r w:rsidR="00C5290F">
              <w:rPr>
                <w:noProof/>
                <w:webHidden/>
              </w:rPr>
              <w:tab/>
            </w:r>
            <w:r w:rsidR="00C5290F">
              <w:rPr>
                <w:noProof/>
                <w:webHidden/>
              </w:rPr>
              <w:fldChar w:fldCharType="begin"/>
            </w:r>
            <w:r w:rsidR="00C5290F">
              <w:rPr>
                <w:noProof/>
                <w:webHidden/>
              </w:rPr>
              <w:instrText xml:space="preserve"> PAGEREF _Toc489537699 \h </w:instrText>
            </w:r>
            <w:r w:rsidR="00C5290F">
              <w:rPr>
                <w:noProof/>
                <w:webHidden/>
              </w:rPr>
            </w:r>
            <w:r w:rsidR="00C5290F">
              <w:rPr>
                <w:noProof/>
                <w:webHidden/>
              </w:rPr>
              <w:fldChar w:fldCharType="separate"/>
            </w:r>
            <w:r w:rsidR="00C5290F">
              <w:rPr>
                <w:noProof/>
                <w:webHidden/>
              </w:rPr>
              <w:t>10</w:t>
            </w:r>
            <w:r w:rsidR="00C5290F">
              <w:rPr>
                <w:noProof/>
                <w:webHidden/>
              </w:rPr>
              <w:fldChar w:fldCharType="end"/>
            </w:r>
          </w:hyperlink>
        </w:p>
        <w:p w:rsidR="00C5290F" w:rsidRDefault="002E6059">
          <w:pPr>
            <w:pStyle w:val="TOC2"/>
            <w:tabs>
              <w:tab w:val="left" w:pos="880"/>
              <w:tab w:val="right" w:leader="dot" w:pos="9016"/>
            </w:tabs>
            <w:rPr>
              <w:rFonts w:asciiTheme="minorHAnsi" w:hAnsiTheme="minorHAnsi"/>
              <w:noProof/>
              <w:sz w:val="22"/>
            </w:rPr>
          </w:pPr>
          <w:hyperlink w:anchor="_Toc489537701" w:history="1">
            <w:r w:rsidR="00C5290F" w:rsidRPr="006A4FF5">
              <w:rPr>
                <w:rStyle w:val="Hyperlink"/>
                <w:noProof/>
              </w:rPr>
              <w:t>1.3</w:t>
            </w:r>
            <w:r w:rsidR="00C5290F">
              <w:rPr>
                <w:rFonts w:asciiTheme="minorHAnsi" w:hAnsiTheme="minorHAnsi"/>
                <w:noProof/>
                <w:sz w:val="22"/>
              </w:rPr>
              <w:tab/>
            </w:r>
            <w:r w:rsidR="00C5290F" w:rsidRPr="006A4FF5">
              <w:rPr>
                <w:rStyle w:val="Hyperlink"/>
                <w:noProof/>
              </w:rPr>
              <w:t>Global Food Prices</w:t>
            </w:r>
            <w:r w:rsidR="00C5290F">
              <w:rPr>
                <w:noProof/>
                <w:webHidden/>
              </w:rPr>
              <w:tab/>
            </w:r>
            <w:r w:rsidR="00C5290F">
              <w:rPr>
                <w:noProof/>
                <w:webHidden/>
              </w:rPr>
              <w:fldChar w:fldCharType="begin"/>
            </w:r>
            <w:r w:rsidR="00C5290F">
              <w:rPr>
                <w:noProof/>
                <w:webHidden/>
              </w:rPr>
              <w:instrText xml:space="preserve"> PAGEREF _Toc489537701 \h </w:instrText>
            </w:r>
            <w:r w:rsidR="00C5290F">
              <w:rPr>
                <w:noProof/>
                <w:webHidden/>
              </w:rPr>
            </w:r>
            <w:r w:rsidR="00C5290F">
              <w:rPr>
                <w:noProof/>
                <w:webHidden/>
              </w:rPr>
              <w:fldChar w:fldCharType="separate"/>
            </w:r>
            <w:r w:rsidR="00C5290F">
              <w:rPr>
                <w:noProof/>
                <w:webHidden/>
              </w:rPr>
              <w:t>11</w:t>
            </w:r>
            <w:r w:rsidR="00C5290F">
              <w:rPr>
                <w:noProof/>
                <w:webHidden/>
              </w:rPr>
              <w:fldChar w:fldCharType="end"/>
            </w:r>
          </w:hyperlink>
        </w:p>
        <w:p w:rsidR="00C5290F" w:rsidRDefault="002E6059">
          <w:pPr>
            <w:pStyle w:val="TOC1"/>
            <w:tabs>
              <w:tab w:val="right" w:leader="dot" w:pos="9016"/>
            </w:tabs>
            <w:rPr>
              <w:rFonts w:asciiTheme="minorHAnsi" w:hAnsiTheme="minorHAnsi"/>
              <w:noProof/>
              <w:sz w:val="22"/>
            </w:rPr>
          </w:pPr>
          <w:hyperlink r:id="rId14" w:anchor="_Toc489537703" w:history="1">
            <w:r w:rsidR="00C5290F" w:rsidRPr="006A4FF5">
              <w:rPr>
                <w:rStyle w:val="Hyperlink"/>
                <w:noProof/>
              </w:rPr>
              <w:t>2 THE STATE OF THE DOMESTIC ECONOMY IN AGRICULTURE, FORESTRY AND FISHERIES</w:t>
            </w:r>
            <w:r w:rsidR="00C5290F">
              <w:rPr>
                <w:noProof/>
                <w:webHidden/>
              </w:rPr>
              <w:tab/>
            </w:r>
            <w:r w:rsidR="00C5290F">
              <w:rPr>
                <w:noProof/>
                <w:webHidden/>
              </w:rPr>
              <w:fldChar w:fldCharType="begin"/>
            </w:r>
            <w:r w:rsidR="00C5290F">
              <w:rPr>
                <w:noProof/>
                <w:webHidden/>
              </w:rPr>
              <w:instrText xml:space="preserve"> PAGEREF _Toc489537703 \h </w:instrText>
            </w:r>
            <w:r w:rsidR="00C5290F">
              <w:rPr>
                <w:noProof/>
                <w:webHidden/>
              </w:rPr>
            </w:r>
            <w:r w:rsidR="00C5290F">
              <w:rPr>
                <w:noProof/>
                <w:webHidden/>
              </w:rPr>
              <w:fldChar w:fldCharType="separate"/>
            </w:r>
            <w:r w:rsidR="00C5290F">
              <w:rPr>
                <w:noProof/>
                <w:webHidden/>
              </w:rPr>
              <w:t>13</w:t>
            </w:r>
            <w:r w:rsidR="00C5290F">
              <w:rPr>
                <w:noProof/>
                <w:webHidden/>
              </w:rPr>
              <w:fldChar w:fldCharType="end"/>
            </w:r>
          </w:hyperlink>
        </w:p>
        <w:p w:rsidR="00C5290F" w:rsidRDefault="002E6059">
          <w:pPr>
            <w:pStyle w:val="TOC2"/>
            <w:tabs>
              <w:tab w:val="right" w:leader="dot" w:pos="9016"/>
            </w:tabs>
            <w:rPr>
              <w:rFonts w:asciiTheme="minorHAnsi" w:hAnsiTheme="minorHAnsi"/>
              <w:noProof/>
              <w:sz w:val="22"/>
            </w:rPr>
          </w:pPr>
          <w:hyperlink w:anchor="_Toc489537704" w:history="1">
            <w:r w:rsidR="00C5290F" w:rsidRPr="006A4FF5">
              <w:rPr>
                <w:rStyle w:val="Hyperlink"/>
                <w:rFonts w:eastAsia="Times New Roman"/>
                <w:noProof/>
                <w:lang w:val="en-GB"/>
              </w:rPr>
              <w:t>2.1 Growth</w:t>
            </w:r>
            <w:r w:rsidR="00C5290F">
              <w:rPr>
                <w:noProof/>
                <w:webHidden/>
              </w:rPr>
              <w:tab/>
            </w:r>
            <w:r w:rsidR="00C5290F">
              <w:rPr>
                <w:noProof/>
                <w:webHidden/>
              </w:rPr>
              <w:fldChar w:fldCharType="begin"/>
            </w:r>
            <w:r w:rsidR="00C5290F">
              <w:rPr>
                <w:noProof/>
                <w:webHidden/>
              </w:rPr>
              <w:instrText xml:space="preserve"> PAGEREF _Toc489537704 \h </w:instrText>
            </w:r>
            <w:r w:rsidR="00C5290F">
              <w:rPr>
                <w:noProof/>
                <w:webHidden/>
              </w:rPr>
            </w:r>
            <w:r w:rsidR="00C5290F">
              <w:rPr>
                <w:noProof/>
                <w:webHidden/>
              </w:rPr>
              <w:fldChar w:fldCharType="separate"/>
            </w:r>
            <w:r w:rsidR="00C5290F">
              <w:rPr>
                <w:noProof/>
                <w:webHidden/>
              </w:rPr>
              <w:t>13</w:t>
            </w:r>
            <w:r w:rsidR="00C5290F">
              <w:rPr>
                <w:noProof/>
                <w:webHidden/>
              </w:rPr>
              <w:fldChar w:fldCharType="end"/>
            </w:r>
          </w:hyperlink>
        </w:p>
        <w:p w:rsidR="00C5290F" w:rsidRDefault="002E6059">
          <w:pPr>
            <w:pStyle w:val="TOC2"/>
            <w:tabs>
              <w:tab w:val="right" w:leader="dot" w:pos="9016"/>
            </w:tabs>
            <w:rPr>
              <w:rFonts w:asciiTheme="minorHAnsi" w:hAnsiTheme="minorHAnsi"/>
              <w:noProof/>
              <w:sz w:val="22"/>
            </w:rPr>
          </w:pPr>
          <w:hyperlink w:anchor="_Toc489537706" w:history="1">
            <w:r w:rsidR="00C5290F" w:rsidRPr="006A4FF5">
              <w:rPr>
                <w:rStyle w:val="Hyperlink"/>
                <w:rFonts w:eastAsia="Times New Roman"/>
                <w:noProof/>
                <w:lang w:val="en-GB"/>
              </w:rPr>
              <w:t>2.2 Inflation</w:t>
            </w:r>
            <w:r w:rsidR="00C5290F">
              <w:rPr>
                <w:noProof/>
                <w:webHidden/>
              </w:rPr>
              <w:tab/>
            </w:r>
            <w:r w:rsidR="00C5290F">
              <w:rPr>
                <w:noProof/>
                <w:webHidden/>
              </w:rPr>
              <w:fldChar w:fldCharType="begin"/>
            </w:r>
            <w:r w:rsidR="00C5290F">
              <w:rPr>
                <w:noProof/>
                <w:webHidden/>
              </w:rPr>
              <w:instrText xml:space="preserve"> PAGEREF _Toc489537706 \h </w:instrText>
            </w:r>
            <w:r w:rsidR="00C5290F">
              <w:rPr>
                <w:noProof/>
                <w:webHidden/>
              </w:rPr>
            </w:r>
            <w:r w:rsidR="00C5290F">
              <w:rPr>
                <w:noProof/>
                <w:webHidden/>
              </w:rPr>
              <w:fldChar w:fldCharType="separate"/>
            </w:r>
            <w:r w:rsidR="00C5290F">
              <w:rPr>
                <w:noProof/>
                <w:webHidden/>
              </w:rPr>
              <w:t>14</w:t>
            </w:r>
            <w:r w:rsidR="00C5290F">
              <w:rPr>
                <w:noProof/>
                <w:webHidden/>
              </w:rPr>
              <w:fldChar w:fldCharType="end"/>
            </w:r>
          </w:hyperlink>
        </w:p>
        <w:p w:rsidR="00C5290F" w:rsidRDefault="002E6059">
          <w:pPr>
            <w:pStyle w:val="TOC2"/>
            <w:tabs>
              <w:tab w:val="right" w:leader="dot" w:pos="9016"/>
            </w:tabs>
            <w:rPr>
              <w:rFonts w:asciiTheme="minorHAnsi" w:hAnsiTheme="minorHAnsi"/>
              <w:noProof/>
              <w:sz w:val="22"/>
            </w:rPr>
          </w:pPr>
          <w:hyperlink w:anchor="_Toc489537709" w:history="1">
            <w:r w:rsidR="00C5290F" w:rsidRPr="006A4FF5">
              <w:rPr>
                <w:rStyle w:val="Hyperlink"/>
                <w:rFonts w:eastAsia="Times New Roman"/>
                <w:noProof/>
                <w:lang w:val="en-GB"/>
              </w:rPr>
              <w:t>2.3 Employment</w:t>
            </w:r>
            <w:r w:rsidR="00C5290F">
              <w:rPr>
                <w:noProof/>
                <w:webHidden/>
              </w:rPr>
              <w:tab/>
            </w:r>
            <w:r w:rsidR="00C5290F">
              <w:rPr>
                <w:noProof/>
                <w:webHidden/>
              </w:rPr>
              <w:fldChar w:fldCharType="begin"/>
            </w:r>
            <w:r w:rsidR="00C5290F">
              <w:rPr>
                <w:noProof/>
                <w:webHidden/>
              </w:rPr>
              <w:instrText xml:space="preserve"> PAGEREF _Toc489537709 \h </w:instrText>
            </w:r>
            <w:r w:rsidR="00C5290F">
              <w:rPr>
                <w:noProof/>
                <w:webHidden/>
              </w:rPr>
            </w:r>
            <w:r w:rsidR="00C5290F">
              <w:rPr>
                <w:noProof/>
                <w:webHidden/>
              </w:rPr>
              <w:fldChar w:fldCharType="separate"/>
            </w:r>
            <w:r w:rsidR="00C5290F">
              <w:rPr>
                <w:noProof/>
                <w:webHidden/>
              </w:rPr>
              <w:t>17</w:t>
            </w:r>
            <w:r w:rsidR="00C5290F">
              <w:rPr>
                <w:noProof/>
                <w:webHidden/>
              </w:rPr>
              <w:fldChar w:fldCharType="end"/>
            </w:r>
          </w:hyperlink>
        </w:p>
        <w:p w:rsidR="00C5290F" w:rsidRDefault="002E6059">
          <w:pPr>
            <w:pStyle w:val="TOC2"/>
            <w:tabs>
              <w:tab w:val="right" w:leader="dot" w:pos="9016"/>
            </w:tabs>
            <w:rPr>
              <w:rFonts w:asciiTheme="minorHAnsi" w:hAnsiTheme="minorHAnsi"/>
              <w:noProof/>
              <w:sz w:val="22"/>
            </w:rPr>
          </w:pPr>
          <w:hyperlink w:anchor="_Toc489537713" w:history="1">
            <w:r w:rsidR="00C5290F" w:rsidRPr="006A4FF5">
              <w:rPr>
                <w:rStyle w:val="Hyperlink"/>
                <w:rFonts w:eastAsia="Times New Roman"/>
                <w:noProof/>
                <w:lang w:val="en-GB"/>
              </w:rPr>
              <w:t>2.4 E</w:t>
            </w:r>
            <w:r w:rsidR="00C5290F" w:rsidRPr="006A4FF5">
              <w:rPr>
                <w:rStyle w:val="Hyperlink"/>
                <w:rFonts w:eastAsia="Times New Roman"/>
                <w:noProof/>
                <w:lang w:val="en-GB" w:eastAsia="en-GB"/>
              </w:rPr>
              <w:t>xpenditure on intermediate goods and services by the agricultural sector</w:t>
            </w:r>
            <w:r w:rsidR="00C5290F">
              <w:rPr>
                <w:noProof/>
                <w:webHidden/>
              </w:rPr>
              <w:tab/>
            </w:r>
            <w:r w:rsidR="00C5290F">
              <w:rPr>
                <w:noProof/>
                <w:webHidden/>
              </w:rPr>
              <w:fldChar w:fldCharType="begin"/>
            </w:r>
            <w:r w:rsidR="00C5290F">
              <w:rPr>
                <w:noProof/>
                <w:webHidden/>
              </w:rPr>
              <w:instrText xml:space="preserve"> PAGEREF _Toc489537713 \h </w:instrText>
            </w:r>
            <w:r w:rsidR="00C5290F">
              <w:rPr>
                <w:noProof/>
                <w:webHidden/>
              </w:rPr>
            </w:r>
            <w:r w:rsidR="00C5290F">
              <w:rPr>
                <w:noProof/>
                <w:webHidden/>
              </w:rPr>
              <w:fldChar w:fldCharType="separate"/>
            </w:r>
            <w:r w:rsidR="00C5290F">
              <w:rPr>
                <w:noProof/>
                <w:webHidden/>
              </w:rPr>
              <w:t>20</w:t>
            </w:r>
            <w:r w:rsidR="00C5290F">
              <w:rPr>
                <w:noProof/>
                <w:webHidden/>
              </w:rPr>
              <w:fldChar w:fldCharType="end"/>
            </w:r>
          </w:hyperlink>
        </w:p>
        <w:p w:rsidR="00C5290F" w:rsidRDefault="002E6059">
          <w:pPr>
            <w:pStyle w:val="TOC2"/>
            <w:tabs>
              <w:tab w:val="right" w:leader="dot" w:pos="9016"/>
            </w:tabs>
            <w:rPr>
              <w:rFonts w:asciiTheme="minorHAnsi" w:hAnsiTheme="minorHAnsi"/>
              <w:noProof/>
              <w:sz w:val="22"/>
            </w:rPr>
          </w:pPr>
          <w:hyperlink w:anchor="_Toc489537715" w:history="1">
            <w:r w:rsidR="00C5290F" w:rsidRPr="006A4FF5">
              <w:rPr>
                <w:rStyle w:val="Hyperlink"/>
                <w:rFonts w:eastAsia="Times New Roman"/>
                <w:noProof/>
                <w:lang w:val="en-US"/>
              </w:rPr>
              <w:t xml:space="preserve">2.5 </w:t>
            </w:r>
            <w:r w:rsidR="00C5290F" w:rsidRPr="006A4FF5">
              <w:rPr>
                <w:rStyle w:val="Hyperlink"/>
                <w:rFonts w:eastAsia="Times New Roman"/>
                <w:noProof/>
                <w:lang w:val="en-US" w:eastAsia="en-GB"/>
              </w:rPr>
              <w:t>Nominal gross farm income and net farm income from agricultural products</w:t>
            </w:r>
            <w:r w:rsidR="00C5290F">
              <w:rPr>
                <w:noProof/>
                <w:webHidden/>
              </w:rPr>
              <w:tab/>
            </w:r>
            <w:r w:rsidR="00C5290F">
              <w:rPr>
                <w:noProof/>
                <w:webHidden/>
              </w:rPr>
              <w:fldChar w:fldCharType="begin"/>
            </w:r>
            <w:r w:rsidR="00C5290F">
              <w:rPr>
                <w:noProof/>
                <w:webHidden/>
              </w:rPr>
              <w:instrText xml:space="preserve"> PAGEREF _Toc489537715 \h </w:instrText>
            </w:r>
            <w:r w:rsidR="00C5290F">
              <w:rPr>
                <w:noProof/>
                <w:webHidden/>
              </w:rPr>
            </w:r>
            <w:r w:rsidR="00C5290F">
              <w:rPr>
                <w:noProof/>
                <w:webHidden/>
              </w:rPr>
              <w:fldChar w:fldCharType="separate"/>
            </w:r>
            <w:r w:rsidR="00C5290F">
              <w:rPr>
                <w:noProof/>
                <w:webHidden/>
              </w:rPr>
              <w:t>21</w:t>
            </w:r>
            <w:r w:rsidR="00C5290F">
              <w:rPr>
                <w:noProof/>
                <w:webHidden/>
              </w:rPr>
              <w:fldChar w:fldCharType="end"/>
            </w:r>
          </w:hyperlink>
        </w:p>
        <w:p w:rsidR="00C5290F" w:rsidRDefault="002E6059">
          <w:pPr>
            <w:pStyle w:val="TOC2"/>
            <w:tabs>
              <w:tab w:val="right" w:leader="dot" w:pos="9016"/>
            </w:tabs>
            <w:rPr>
              <w:rFonts w:asciiTheme="minorHAnsi" w:hAnsiTheme="minorHAnsi"/>
              <w:noProof/>
              <w:sz w:val="22"/>
            </w:rPr>
          </w:pPr>
          <w:hyperlink w:anchor="_Toc489537717" w:history="1">
            <w:r w:rsidR="00C5290F" w:rsidRPr="006A4FF5">
              <w:rPr>
                <w:rStyle w:val="Hyperlink"/>
                <w:rFonts w:eastAsia="Times New Roman"/>
                <w:noProof/>
                <w:lang w:val="en-GB" w:eastAsia="en-US"/>
              </w:rPr>
              <w:t>2.6 The net farm Income</w:t>
            </w:r>
            <w:r w:rsidR="00C5290F">
              <w:rPr>
                <w:noProof/>
                <w:webHidden/>
              </w:rPr>
              <w:tab/>
            </w:r>
            <w:r w:rsidR="00C5290F">
              <w:rPr>
                <w:noProof/>
                <w:webHidden/>
              </w:rPr>
              <w:fldChar w:fldCharType="begin"/>
            </w:r>
            <w:r w:rsidR="00C5290F">
              <w:rPr>
                <w:noProof/>
                <w:webHidden/>
              </w:rPr>
              <w:instrText xml:space="preserve"> PAGEREF _Toc489537717 \h </w:instrText>
            </w:r>
            <w:r w:rsidR="00C5290F">
              <w:rPr>
                <w:noProof/>
                <w:webHidden/>
              </w:rPr>
            </w:r>
            <w:r w:rsidR="00C5290F">
              <w:rPr>
                <w:noProof/>
                <w:webHidden/>
              </w:rPr>
              <w:fldChar w:fldCharType="separate"/>
            </w:r>
            <w:r w:rsidR="00C5290F">
              <w:rPr>
                <w:noProof/>
                <w:webHidden/>
              </w:rPr>
              <w:t>22</w:t>
            </w:r>
            <w:r w:rsidR="00C5290F">
              <w:rPr>
                <w:noProof/>
                <w:webHidden/>
              </w:rPr>
              <w:fldChar w:fldCharType="end"/>
            </w:r>
          </w:hyperlink>
        </w:p>
        <w:p w:rsidR="00C5290F" w:rsidRDefault="002E6059" w:rsidP="00C5290F">
          <w:pPr>
            <w:pStyle w:val="TOC2"/>
            <w:tabs>
              <w:tab w:val="right" w:leader="dot" w:pos="9016"/>
            </w:tabs>
            <w:rPr>
              <w:rFonts w:asciiTheme="minorHAnsi" w:hAnsiTheme="minorHAnsi"/>
              <w:noProof/>
              <w:sz w:val="22"/>
            </w:rPr>
          </w:pPr>
          <w:hyperlink w:anchor="_Toc489537719" w:history="1">
            <w:r w:rsidR="00C5290F" w:rsidRPr="006A4FF5">
              <w:rPr>
                <w:rStyle w:val="Hyperlink"/>
                <w:rFonts w:eastAsia="Times New Roman"/>
                <w:noProof/>
                <w:lang w:val="en-GB" w:eastAsia="en-GB"/>
              </w:rPr>
              <w:t>2.6 Private consumption expenditure on agricultural products</w:t>
            </w:r>
            <w:r w:rsidR="00C5290F">
              <w:rPr>
                <w:noProof/>
                <w:webHidden/>
              </w:rPr>
              <w:tab/>
            </w:r>
            <w:r w:rsidR="00C5290F">
              <w:rPr>
                <w:noProof/>
                <w:webHidden/>
              </w:rPr>
              <w:fldChar w:fldCharType="begin"/>
            </w:r>
            <w:r w:rsidR="00C5290F">
              <w:rPr>
                <w:noProof/>
                <w:webHidden/>
              </w:rPr>
              <w:instrText xml:space="preserve"> PAGEREF _Toc489537719 \h </w:instrText>
            </w:r>
            <w:r w:rsidR="00C5290F">
              <w:rPr>
                <w:noProof/>
                <w:webHidden/>
              </w:rPr>
            </w:r>
            <w:r w:rsidR="00C5290F">
              <w:rPr>
                <w:noProof/>
                <w:webHidden/>
              </w:rPr>
              <w:fldChar w:fldCharType="separate"/>
            </w:r>
            <w:r w:rsidR="00C5290F">
              <w:rPr>
                <w:noProof/>
                <w:webHidden/>
              </w:rPr>
              <w:t>23</w:t>
            </w:r>
            <w:r w:rsidR="00C5290F">
              <w:rPr>
                <w:noProof/>
                <w:webHidden/>
              </w:rPr>
              <w:fldChar w:fldCharType="end"/>
            </w:r>
          </w:hyperlink>
          <w:hyperlink w:anchor="_Toc489537720" w:history="1"/>
        </w:p>
        <w:p w:rsidR="00C5290F" w:rsidRDefault="002E6059">
          <w:pPr>
            <w:pStyle w:val="TOC1"/>
            <w:tabs>
              <w:tab w:val="right" w:leader="dot" w:pos="9016"/>
            </w:tabs>
            <w:rPr>
              <w:rFonts w:asciiTheme="minorHAnsi" w:hAnsiTheme="minorHAnsi"/>
              <w:noProof/>
              <w:sz w:val="22"/>
            </w:rPr>
          </w:pPr>
          <w:hyperlink w:anchor="_Toc489537721" w:history="1">
            <w:r w:rsidR="00C5290F" w:rsidRPr="006A4FF5">
              <w:rPr>
                <w:rStyle w:val="Hyperlink"/>
                <w:noProof/>
              </w:rPr>
              <w:t>3. Review of Agricultural Markets</w:t>
            </w:r>
            <w:r w:rsidR="00C5290F">
              <w:rPr>
                <w:noProof/>
                <w:webHidden/>
              </w:rPr>
              <w:tab/>
            </w:r>
            <w:r w:rsidR="00C5290F">
              <w:rPr>
                <w:noProof/>
                <w:webHidden/>
              </w:rPr>
              <w:fldChar w:fldCharType="begin"/>
            </w:r>
            <w:r w:rsidR="00C5290F">
              <w:rPr>
                <w:noProof/>
                <w:webHidden/>
              </w:rPr>
              <w:instrText xml:space="preserve"> PAGEREF _Toc489537721 \h </w:instrText>
            </w:r>
            <w:r w:rsidR="00C5290F">
              <w:rPr>
                <w:noProof/>
                <w:webHidden/>
              </w:rPr>
            </w:r>
            <w:r w:rsidR="00C5290F">
              <w:rPr>
                <w:noProof/>
                <w:webHidden/>
              </w:rPr>
              <w:fldChar w:fldCharType="separate"/>
            </w:r>
            <w:r w:rsidR="00C5290F">
              <w:rPr>
                <w:noProof/>
                <w:webHidden/>
              </w:rPr>
              <w:t>23</w:t>
            </w:r>
            <w:r w:rsidR="00C5290F">
              <w:rPr>
                <w:noProof/>
                <w:webHidden/>
              </w:rPr>
              <w:fldChar w:fldCharType="end"/>
            </w:r>
          </w:hyperlink>
        </w:p>
        <w:p w:rsidR="00C5290F" w:rsidRDefault="002E6059">
          <w:pPr>
            <w:pStyle w:val="TOC2"/>
            <w:tabs>
              <w:tab w:val="right" w:leader="dot" w:pos="9016"/>
            </w:tabs>
            <w:rPr>
              <w:rFonts w:asciiTheme="minorHAnsi" w:hAnsiTheme="minorHAnsi"/>
              <w:noProof/>
              <w:sz w:val="22"/>
            </w:rPr>
          </w:pPr>
          <w:hyperlink w:anchor="_Toc489537722" w:history="1">
            <w:r w:rsidR="00C5290F" w:rsidRPr="006A4FF5">
              <w:rPr>
                <w:rStyle w:val="Hyperlink"/>
                <w:noProof/>
              </w:rPr>
              <w:t>3.1 Grain market review</w:t>
            </w:r>
            <w:r w:rsidR="00C5290F">
              <w:rPr>
                <w:noProof/>
                <w:webHidden/>
              </w:rPr>
              <w:tab/>
            </w:r>
            <w:r w:rsidR="00C5290F">
              <w:rPr>
                <w:noProof/>
                <w:webHidden/>
              </w:rPr>
              <w:fldChar w:fldCharType="begin"/>
            </w:r>
            <w:r w:rsidR="00C5290F">
              <w:rPr>
                <w:noProof/>
                <w:webHidden/>
              </w:rPr>
              <w:instrText xml:space="preserve"> PAGEREF _Toc489537722 \h </w:instrText>
            </w:r>
            <w:r w:rsidR="00C5290F">
              <w:rPr>
                <w:noProof/>
                <w:webHidden/>
              </w:rPr>
            </w:r>
            <w:r w:rsidR="00C5290F">
              <w:rPr>
                <w:noProof/>
                <w:webHidden/>
              </w:rPr>
              <w:fldChar w:fldCharType="separate"/>
            </w:r>
            <w:r w:rsidR="00C5290F">
              <w:rPr>
                <w:noProof/>
                <w:webHidden/>
              </w:rPr>
              <w:t>24</w:t>
            </w:r>
            <w:r w:rsidR="00C5290F">
              <w:rPr>
                <w:noProof/>
                <w:webHidden/>
              </w:rPr>
              <w:fldChar w:fldCharType="end"/>
            </w:r>
          </w:hyperlink>
        </w:p>
        <w:p w:rsidR="00C5290F" w:rsidRDefault="002E6059" w:rsidP="00C5290F">
          <w:pPr>
            <w:pStyle w:val="TOC2"/>
            <w:tabs>
              <w:tab w:val="right" w:leader="dot" w:pos="9016"/>
            </w:tabs>
            <w:rPr>
              <w:rFonts w:asciiTheme="minorHAnsi" w:hAnsiTheme="minorHAnsi"/>
              <w:noProof/>
              <w:sz w:val="22"/>
            </w:rPr>
          </w:pPr>
          <w:hyperlink w:anchor="_Toc489537723" w:history="1">
            <w:r w:rsidR="00C5290F" w:rsidRPr="006A4FF5">
              <w:rPr>
                <w:rStyle w:val="Hyperlink"/>
                <w:rFonts w:eastAsia="Times New Roman" w:cs="Arial"/>
                <w:noProof/>
                <w:lang w:val="en-GB"/>
              </w:rPr>
              <w:t>3.1.1 White and yellow maize</w:t>
            </w:r>
            <w:r w:rsidR="00C5290F">
              <w:rPr>
                <w:noProof/>
                <w:webHidden/>
              </w:rPr>
              <w:tab/>
            </w:r>
            <w:r w:rsidR="00C5290F">
              <w:rPr>
                <w:noProof/>
                <w:webHidden/>
              </w:rPr>
              <w:fldChar w:fldCharType="begin"/>
            </w:r>
            <w:r w:rsidR="00C5290F">
              <w:rPr>
                <w:noProof/>
                <w:webHidden/>
              </w:rPr>
              <w:instrText xml:space="preserve"> PAGEREF _Toc489537723 \h </w:instrText>
            </w:r>
            <w:r w:rsidR="00C5290F">
              <w:rPr>
                <w:noProof/>
                <w:webHidden/>
              </w:rPr>
            </w:r>
            <w:r w:rsidR="00C5290F">
              <w:rPr>
                <w:noProof/>
                <w:webHidden/>
              </w:rPr>
              <w:fldChar w:fldCharType="separate"/>
            </w:r>
            <w:r w:rsidR="00C5290F">
              <w:rPr>
                <w:noProof/>
                <w:webHidden/>
              </w:rPr>
              <w:t>24</w:t>
            </w:r>
            <w:r w:rsidR="00C5290F">
              <w:rPr>
                <w:noProof/>
                <w:webHidden/>
              </w:rPr>
              <w:fldChar w:fldCharType="end"/>
            </w:r>
          </w:hyperlink>
          <w:hyperlink w:anchor="_Toc489537725" w:history="1"/>
        </w:p>
        <w:p w:rsidR="00C5290F" w:rsidRDefault="002E6059">
          <w:pPr>
            <w:pStyle w:val="TOC2"/>
            <w:tabs>
              <w:tab w:val="right" w:leader="dot" w:pos="9016"/>
            </w:tabs>
            <w:rPr>
              <w:rFonts w:asciiTheme="minorHAnsi" w:hAnsiTheme="minorHAnsi"/>
              <w:noProof/>
              <w:sz w:val="22"/>
            </w:rPr>
          </w:pPr>
          <w:hyperlink w:anchor="_Toc489537727" w:history="1">
            <w:r w:rsidR="00C5290F" w:rsidRPr="006A4FF5">
              <w:rPr>
                <w:rStyle w:val="Hyperlink"/>
                <w:noProof/>
              </w:rPr>
              <w:t>3.1.2 Wheat</w:t>
            </w:r>
            <w:r w:rsidR="00C5290F">
              <w:rPr>
                <w:noProof/>
                <w:webHidden/>
              </w:rPr>
              <w:tab/>
            </w:r>
            <w:r w:rsidR="00C5290F">
              <w:rPr>
                <w:noProof/>
                <w:webHidden/>
              </w:rPr>
              <w:fldChar w:fldCharType="begin"/>
            </w:r>
            <w:r w:rsidR="00C5290F">
              <w:rPr>
                <w:noProof/>
                <w:webHidden/>
              </w:rPr>
              <w:instrText xml:space="preserve"> PAGEREF _Toc489537727 \h </w:instrText>
            </w:r>
            <w:r w:rsidR="00C5290F">
              <w:rPr>
                <w:noProof/>
                <w:webHidden/>
              </w:rPr>
            </w:r>
            <w:r w:rsidR="00C5290F">
              <w:rPr>
                <w:noProof/>
                <w:webHidden/>
              </w:rPr>
              <w:fldChar w:fldCharType="separate"/>
            </w:r>
            <w:r w:rsidR="00C5290F">
              <w:rPr>
                <w:noProof/>
                <w:webHidden/>
              </w:rPr>
              <w:t>27</w:t>
            </w:r>
            <w:r w:rsidR="00C5290F">
              <w:rPr>
                <w:noProof/>
                <w:webHidden/>
              </w:rPr>
              <w:fldChar w:fldCharType="end"/>
            </w:r>
          </w:hyperlink>
        </w:p>
        <w:p w:rsidR="00C5290F" w:rsidRDefault="002E6059">
          <w:pPr>
            <w:pStyle w:val="TOC2"/>
            <w:tabs>
              <w:tab w:val="right" w:leader="dot" w:pos="9016"/>
            </w:tabs>
            <w:rPr>
              <w:rFonts w:asciiTheme="minorHAnsi" w:hAnsiTheme="minorHAnsi"/>
              <w:noProof/>
              <w:sz w:val="22"/>
            </w:rPr>
          </w:pPr>
          <w:hyperlink w:anchor="_Toc489537730" w:history="1">
            <w:r w:rsidR="00C5290F" w:rsidRPr="006A4FF5">
              <w:rPr>
                <w:rStyle w:val="Hyperlink"/>
                <w:rFonts w:eastAsia="Times New Roman"/>
                <w:noProof/>
                <w:lang w:val="en-GB"/>
              </w:rPr>
              <w:t xml:space="preserve">3.1.3 </w:t>
            </w:r>
            <w:r w:rsidR="00C5290F" w:rsidRPr="006A4FF5">
              <w:rPr>
                <w:rStyle w:val="Hyperlink"/>
                <w:rFonts w:eastAsia="Calibri"/>
                <w:noProof/>
              </w:rPr>
              <w:t>Soybeans</w:t>
            </w:r>
            <w:r w:rsidR="00C5290F">
              <w:rPr>
                <w:noProof/>
                <w:webHidden/>
              </w:rPr>
              <w:tab/>
            </w:r>
            <w:r w:rsidR="00C5290F">
              <w:rPr>
                <w:noProof/>
                <w:webHidden/>
              </w:rPr>
              <w:fldChar w:fldCharType="begin"/>
            </w:r>
            <w:r w:rsidR="00C5290F">
              <w:rPr>
                <w:noProof/>
                <w:webHidden/>
              </w:rPr>
              <w:instrText xml:space="preserve"> PAGEREF _Toc489537730 \h </w:instrText>
            </w:r>
            <w:r w:rsidR="00C5290F">
              <w:rPr>
                <w:noProof/>
                <w:webHidden/>
              </w:rPr>
            </w:r>
            <w:r w:rsidR="00C5290F">
              <w:rPr>
                <w:noProof/>
                <w:webHidden/>
              </w:rPr>
              <w:fldChar w:fldCharType="separate"/>
            </w:r>
            <w:r w:rsidR="00C5290F">
              <w:rPr>
                <w:noProof/>
                <w:webHidden/>
              </w:rPr>
              <w:t>30</w:t>
            </w:r>
            <w:r w:rsidR="00C5290F">
              <w:rPr>
                <w:noProof/>
                <w:webHidden/>
              </w:rPr>
              <w:fldChar w:fldCharType="end"/>
            </w:r>
          </w:hyperlink>
        </w:p>
        <w:p w:rsidR="00C5290F" w:rsidRDefault="002E6059">
          <w:pPr>
            <w:pStyle w:val="TOC2"/>
            <w:tabs>
              <w:tab w:val="right" w:leader="dot" w:pos="9016"/>
            </w:tabs>
            <w:rPr>
              <w:rFonts w:asciiTheme="minorHAnsi" w:hAnsiTheme="minorHAnsi"/>
              <w:noProof/>
              <w:sz w:val="22"/>
            </w:rPr>
          </w:pPr>
          <w:hyperlink w:anchor="_Toc489537732" w:history="1">
            <w:r w:rsidR="00C5290F" w:rsidRPr="006A4FF5">
              <w:rPr>
                <w:rStyle w:val="Hyperlink"/>
                <w:rFonts w:eastAsia="Times New Roman"/>
                <w:noProof/>
                <w:lang w:val="en-GB"/>
              </w:rPr>
              <w:t xml:space="preserve">3.1.4 </w:t>
            </w:r>
            <w:r w:rsidR="00C5290F" w:rsidRPr="006A4FF5">
              <w:rPr>
                <w:rStyle w:val="Hyperlink"/>
                <w:rFonts w:eastAsia="Times New Roman"/>
                <w:noProof/>
              </w:rPr>
              <w:t>Sunflower</w:t>
            </w:r>
            <w:r w:rsidR="00C5290F">
              <w:rPr>
                <w:noProof/>
                <w:webHidden/>
              </w:rPr>
              <w:tab/>
            </w:r>
            <w:r w:rsidR="00C5290F">
              <w:rPr>
                <w:noProof/>
                <w:webHidden/>
              </w:rPr>
              <w:fldChar w:fldCharType="begin"/>
            </w:r>
            <w:r w:rsidR="00C5290F">
              <w:rPr>
                <w:noProof/>
                <w:webHidden/>
              </w:rPr>
              <w:instrText xml:space="preserve"> PAGEREF _Toc489537732 \h </w:instrText>
            </w:r>
            <w:r w:rsidR="00C5290F">
              <w:rPr>
                <w:noProof/>
                <w:webHidden/>
              </w:rPr>
            </w:r>
            <w:r w:rsidR="00C5290F">
              <w:rPr>
                <w:noProof/>
                <w:webHidden/>
              </w:rPr>
              <w:fldChar w:fldCharType="separate"/>
            </w:r>
            <w:r w:rsidR="00C5290F">
              <w:rPr>
                <w:noProof/>
                <w:webHidden/>
              </w:rPr>
              <w:t>32</w:t>
            </w:r>
            <w:r w:rsidR="00C5290F">
              <w:rPr>
                <w:noProof/>
                <w:webHidden/>
              </w:rPr>
              <w:fldChar w:fldCharType="end"/>
            </w:r>
          </w:hyperlink>
        </w:p>
        <w:p w:rsidR="00C5290F" w:rsidRDefault="002E6059">
          <w:pPr>
            <w:pStyle w:val="TOC2"/>
            <w:tabs>
              <w:tab w:val="right" w:leader="dot" w:pos="9016"/>
            </w:tabs>
            <w:rPr>
              <w:rFonts w:asciiTheme="minorHAnsi" w:hAnsiTheme="minorHAnsi"/>
              <w:noProof/>
              <w:sz w:val="22"/>
            </w:rPr>
          </w:pPr>
          <w:hyperlink w:anchor="_Toc489537735" w:history="1">
            <w:r w:rsidR="00C5290F" w:rsidRPr="006A4FF5">
              <w:rPr>
                <w:rStyle w:val="Hyperlink"/>
                <w:rFonts w:eastAsia="Times New Roman"/>
                <w:noProof/>
                <w:lang w:val="en-GB"/>
              </w:rPr>
              <w:t xml:space="preserve">3.1.5 </w:t>
            </w:r>
            <w:r w:rsidR="00C5290F" w:rsidRPr="006A4FF5">
              <w:rPr>
                <w:rStyle w:val="Hyperlink"/>
                <w:rFonts w:eastAsia="Times New Roman"/>
                <w:noProof/>
              </w:rPr>
              <w:t>Sorghum</w:t>
            </w:r>
            <w:r w:rsidR="00C5290F">
              <w:rPr>
                <w:noProof/>
                <w:webHidden/>
              </w:rPr>
              <w:tab/>
            </w:r>
            <w:r w:rsidR="00C5290F">
              <w:rPr>
                <w:noProof/>
                <w:webHidden/>
              </w:rPr>
              <w:fldChar w:fldCharType="begin"/>
            </w:r>
            <w:r w:rsidR="00C5290F">
              <w:rPr>
                <w:noProof/>
                <w:webHidden/>
              </w:rPr>
              <w:instrText xml:space="preserve"> PAGEREF _Toc489537735 \h </w:instrText>
            </w:r>
            <w:r w:rsidR="00C5290F">
              <w:rPr>
                <w:noProof/>
                <w:webHidden/>
              </w:rPr>
            </w:r>
            <w:r w:rsidR="00C5290F">
              <w:rPr>
                <w:noProof/>
                <w:webHidden/>
              </w:rPr>
              <w:fldChar w:fldCharType="separate"/>
            </w:r>
            <w:r w:rsidR="00C5290F">
              <w:rPr>
                <w:noProof/>
                <w:webHidden/>
              </w:rPr>
              <w:t>33</w:t>
            </w:r>
            <w:r w:rsidR="00C5290F">
              <w:rPr>
                <w:noProof/>
                <w:webHidden/>
              </w:rPr>
              <w:fldChar w:fldCharType="end"/>
            </w:r>
          </w:hyperlink>
        </w:p>
        <w:p w:rsidR="00C5290F" w:rsidRDefault="002E6059">
          <w:pPr>
            <w:pStyle w:val="TOC2"/>
            <w:tabs>
              <w:tab w:val="right" w:leader="dot" w:pos="9016"/>
            </w:tabs>
            <w:rPr>
              <w:rFonts w:asciiTheme="minorHAnsi" w:hAnsiTheme="minorHAnsi"/>
              <w:noProof/>
              <w:sz w:val="22"/>
            </w:rPr>
          </w:pPr>
          <w:hyperlink w:anchor="_Toc489537739" w:history="1">
            <w:r w:rsidR="00C5290F" w:rsidRPr="006A4FF5">
              <w:rPr>
                <w:rStyle w:val="Hyperlink"/>
                <w:rFonts w:eastAsia="Times New Roman"/>
                <w:noProof/>
                <w:lang w:val="en-GB"/>
              </w:rPr>
              <w:t>3.1.6 Groundnuts</w:t>
            </w:r>
            <w:r w:rsidR="00C5290F">
              <w:rPr>
                <w:noProof/>
                <w:webHidden/>
              </w:rPr>
              <w:tab/>
            </w:r>
            <w:r w:rsidR="00C5290F">
              <w:rPr>
                <w:noProof/>
                <w:webHidden/>
              </w:rPr>
              <w:fldChar w:fldCharType="begin"/>
            </w:r>
            <w:r w:rsidR="00C5290F">
              <w:rPr>
                <w:noProof/>
                <w:webHidden/>
              </w:rPr>
              <w:instrText xml:space="preserve"> PAGEREF _Toc489537739 \h </w:instrText>
            </w:r>
            <w:r w:rsidR="00C5290F">
              <w:rPr>
                <w:noProof/>
                <w:webHidden/>
              </w:rPr>
            </w:r>
            <w:r w:rsidR="00C5290F">
              <w:rPr>
                <w:noProof/>
                <w:webHidden/>
              </w:rPr>
              <w:fldChar w:fldCharType="separate"/>
            </w:r>
            <w:r w:rsidR="00C5290F">
              <w:rPr>
                <w:noProof/>
                <w:webHidden/>
              </w:rPr>
              <w:t>34</w:t>
            </w:r>
            <w:r w:rsidR="00C5290F">
              <w:rPr>
                <w:noProof/>
                <w:webHidden/>
              </w:rPr>
              <w:fldChar w:fldCharType="end"/>
            </w:r>
          </w:hyperlink>
        </w:p>
        <w:p w:rsidR="00C5290F" w:rsidRDefault="002E6059">
          <w:pPr>
            <w:pStyle w:val="TOC2"/>
            <w:tabs>
              <w:tab w:val="right" w:leader="dot" w:pos="9016"/>
            </w:tabs>
            <w:rPr>
              <w:rFonts w:asciiTheme="minorHAnsi" w:hAnsiTheme="minorHAnsi"/>
              <w:noProof/>
              <w:sz w:val="22"/>
            </w:rPr>
          </w:pPr>
          <w:hyperlink w:anchor="_Toc489537751" w:history="1">
            <w:r w:rsidR="00C5290F" w:rsidRPr="006A4FF5">
              <w:rPr>
                <w:rStyle w:val="Hyperlink"/>
                <w:rFonts w:eastAsia="Calibri"/>
                <w:noProof/>
                <w:lang w:val="en-US" w:eastAsia="en-US"/>
              </w:rPr>
              <w:t>3.1.7 Drybeans</w:t>
            </w:r>
            <w:r w:rsidR="00C5290F">
              <w:rPr>
                <w:noProof/>
                <w:webHidden/>
              </w:rPr>
              <w:tab/>
            </w:r>
            <w:r w:rsidR="00C5290F">
              <w:rPr>
                <w:noProof/>
                <w:webHidden/>
              </w:rPr>
              <w:fldChar w:fldCharType="begin"/>
            </w:r>
            <w:r w:rsidR="00C5290F">
              <w:rPr>
                <w:noProof/>
                <w:webHidden/>
              </w:rPr>
              <w:instrText xml:space="preserve"> PAGEREF _Toc489537751 \h </w:instrText>
            </w:r>
            <w:r w:rsidR="00C5290F">
              <w:rPr>
                <w:noProof/>
                <w:webHidden/>
              </w:rPr>
            </w:r>
            <w:r w:rsidR="00C5290F">
              <w:rPr>
                <w:noProof/>
                <w:webHidden/>
              </w:rPr>
              <w:fldChar w:fldCharType="separate"/>
            </w:r>
            <w:r w:rsidR="00C5290F">
              <w:rPr>
                <w:noProof/>
                <w:webHidden/>
              </w:rPr>
              <w:t>39</w:t>
            </w:r>
            <w:r w:rsidR="00C5290F">
              <w:rPr>
                <w:noProof/>
                <w:webHidden/>
              </w:rPr>
              <w:fldChar w:fldCharType="end"/>
            </w:r>
          </w:hyperlink>
        </w:p>
        <w:p w:rsidR="00C5290F" w:rsidRDefault="002E6059" w:rsidP="006F77E3">
          <w:pPr>
            <w:pStyle w:val="TOC2"/>
            <w:tabs>
              <w:tab w:val="right" w:leader="dot" w:pos="9016"/>
            </w:tabs>
            <w:rPr>
              <w:rFonts w:asciiTheme="minorHAnsi" w:hAnsiTheme="minorHAnsi"/>
              <w:noProof/>
              <w:sz w:val="22"/>
            </w:rPr>
          </w:pPr>
          <w:hyperlink w:anchor="_Toc489537754" w:history="1">
            <w:r w:rsidR="00C5290F" w:rsidRPr="006A4FF5">
              <w:rPr>
                <w:rStyle w:val="Hyperlink"/>
                <w:noProof/>
                <w:lang w:val="en-GB"/>
              </w:rPr>
              <w:t>3.2 Fruit and vegetable market review</w:t>
            </w:r>
            <w:r w:rsidR="00C5290F">
              <w:rPr>
                <w:noProof/>
                <w:webHidden/>
              </w:rPr>
              <w:tab/>
            </w:r>
            <w:r w:rsidR="00C5290F">
              <w:rPr>
                <w:noProof/>
                <w:webHidden/>
              </w:rPr>
              <w:fldChar w:fldCharType="begin"/>
            </w:r>
            <w:r w:rsidR="00C5290F">
              <w:rPr>
                <w:noProof/>
                <w:webHidden/>
              </w:rPr>
              <w:instrText xml:space="preserve"> PAGEREF _Toc489537754 \h </w:instrText>
            </w:r>
            <w:r w:rsidR="00C5290F">
              <w:rPr>
                <w:noProof/>
                <w:webHidden/>
              </w:rPr>
            </w:r>
            <w:r w:rsidR="00C5290F">
              <w:rPr>
                <w:noProof/>
                <w:webHidden/>
              </w:rPr>
              <w:fldChar w:fldCharType="separate"/>
            </w:r>
            <w:r w:rsidR="00C5290F">
              <w:rPr>
                <w:noProof/>
                <w:webHidden/>
              </w:rPr>
              <w:t>40</w:t>
            </w:r>
            <w:r w:rsidR="00C5290F">
              <w:rPr>
                <w:noProof/>
                <w:webHidden/>
              </w:rPr>
              <w:fldChar w:fldCharType="end"/>
            </w:r>
          </w:hyperlink>
        </w:p>
        <w:p w:rsidR="00C5290F" w:rsidRDefault="002E6059">
          <w:pPr>
            <w:pStyle w:val="TOC2"/>
            <w:tabs>
              <w:tab w:val="right" w:leader="dot" w:pos="9016"/>
            </w:tabs>
            <w:rPr>
              <w:rFonts w:asciiTheme="minorHAnsi" w:hAnsiTheme="minorHAnsi"/>
              <w:noProof/>
              <w:sz w:val="22"/>
            </w:rPr>
          </w:pPr>
          <w:hyperlink w:anchor="_Toc489537759" w:history="1">
            <w:r w:rsidR="00C5290F" w:rsidRPr="006A4FF5">
              <w:rPr>
                <w:rStyle w:val="Hyperlink"/>
                <w:noProof/>
              </w:rPr>
              <w:t>3.3 Meat industry review</w:t>
            </w:r>
            <w:r w:rsidR="00C5290F">
              <w:rPr>
                <w:noProof/>
                <w:webHidden/>
              </w:rPr>
              <w:tab/>
            </w:r>
            <w:r w:rsidR="00C5290F">
              <w:rPr>
                <w:noProof/>
                <w:webHidden/>
              </w:rPr>
              <w:fldChar w:fldCharType="begin"/>
            </w:r>
            <w:r w:rsidR="00C5290F">
              <w:rPr>
                <w:noProof/>
                <w:webHidden/>
              </w:rPr>
              <w:instrText xml:space="preserve"> PAGEREF _Toc489537759 \h </w:instrText>
            </w:r>
            <w:r w:rsidR="00C5290F">
              <w:rPr>
                <w:noProof/>
                <w:webHidden/>
              </w:rPr>
            </w:r>
            <w:r w:rsidR="00C5290F">
              <w:rPr>
                <w:noProof/>
                <w:webHidden/>
              </w:rPr>
              <w:fldChar w:fldCharType="separate"/>
            </w:r>
            <w:r w:rsidR="00C5290F">
              <w:rPr>
                <w:noProof/>
                <w:webHidden/>
              </w:rPr>
              <w:t>44</w:t>
            </w:r>
            <w:r w:rsidR="00C5290F">
              <w:rPr>
                <w:noProof/>
                <w:webHidden/>
              </w:rPr>
              <w:fldChar w:fldCharType="end"/>
            </w:r>
          </w:hyperlink>
        </w:p>
        <w:p w:rsidR="00C5290F" w:rsidRDefault="002E6059">
          <w:pPr>
            <w:pStyle w:val="TOC2"/>
            <w:tabs>
              <w:tab w:val="right" w:leader="dot" w:pos="9016"/>
            </w:tabs>
            <w:rPr>
              <w:rFonts w:asciiTheme="minorHAnsi" w:hAnsiTheme="minorHAnsi"/>
              <w:noProof/>
              <w:sz w:val="22"/>
            </w:rPr>
          </w:pPr>
          <w:hyperlink w:anchor="_Toc489537763" w:history="1">
            <w:r w:rsidR="00C5290F" w:rsidRPr="006A4FF5">
              <w:rPr>
                <w:rStyle w:val="Hyperlink"/>
                <w:noProof/>
                <w:lang w:val="en-GB"/>
              </w:rPr>
              <w:t>3.4 Poultry industry review</w:t>
            </w:r>
            <w:r w:rsidR="00C5290F">
              <w:rPr>
                <w:noProof/>
                <w:webHidden/>
              </w:rPr>
              <w:tab/>
            </w:r>
            <w:r w:rsidR="00C5290F">
              <w:rPr>
                <w:noProof/>
                <w:webHidden/>
              </w:rPr>
              <w:fldChar w:fldCharType="begin"/>
            </w:r>
            <w:r w:rsidR="00C5290F">
              <w:rPr>
                <w:noProof/>
                <w:webHidden/>
              </w:rPr>
              <w:instrText xml:space="preserve"> PAGEREF _Toc489537763 \h </w:instrText>
            </w:r>
            <w:r w:rsidR="00C5290F">
              <w:rPr>
                <w:noProof/>
                <w:webHidden/>
              </w:rPr>
            </w:r>
            <w:r w:rsidR="00C5290F">
              <w:rPr>
                <w:noProof/>
                <w:webHidden/>
              </w:rPr>
              <w:fldChar w:fldCharType="separate"/>
            </w:r>
            <w:r w:rsidR="00C5290F">
              <w:rPr>
                <w:noProof/>
                <w:webHidden/>
              </w:rPr>
              <w:t>46</w:t>
            </w:r>
            <w:r w:rsidR="00C5290F">
              <w:rPr>
                <w:noProof/>
                <w:webHidden/>
              </w:rPr>
              <w:fldChar w:fldCharType="end"/>
            </w:r>
          </w:hyperlink>
        </w:p>
        <w:p w:rsidR="00C5290F" w:rsidRDefault="002E6059">
          <w:pPr>
            <w:pStyle w:val="TOC2"/>
            <w:tabs>
              <w:tab w:val="right" w:leader="dot" w:pos="9016"/>
            </w:tabs>
            <w:rPr>
              <w:rFonts w:asciiTheme="minorHAnsi" w:hAnsiTheme="minorHAnsi"/>
              <w:noProof/>
              <w:sz w:val="22"/>
            </w:rPr>
          </w:pPr>
          <w:hyperlink w:anchor="_Toc489537768" w:history="1">
            <w:r w:rsidR="00C5290F" w:rsidRPr="006A4FF5">
              <w:rPr>
                <w:rStyle w:val="Hyperlink"/>
                <w:rFonts w:eastAsia="Calibri"/>
                <w:noProof/>
              </w:rPr>
              <w:t>3.5 Egg industry overview</w:t>
            </w:r>
            <w:r w:rsidR="00C5290F">
              <w:rPr>
                <w:noProof/>
                <w:webHidden/>
              </w:rPr>
              <w:tab/>
            </w:r>
            <w:r w:rsidR="00C5290F">
              <w:rPr>
                <w:noProof/>
                <w:webHidden/>
              </w:rPr>
              <w:fldChar w:fldCharType="begin"/>
            </w:r>
            <w:r w:rsidR="00C5290F">
              <w:rPr>
                <w:noProof/>
                <w:webHidden/>
              </w:rPr>
              <w:instrText xml:space="preserve"> PAGEREF _Toc489537768 \h </w:instrText>
            </w:r>
            <w:r w:rsidR="00C5290F">
              <w:rPr>
                <w:noProof/>
                <w:webHidden/>
              </w:rPr>
            </w:r>
            <w:r w:rsidR="00C5290F">
              <w:rPr>
                <w:noProof/>
                <w:webHidden/>
              </w:rPr>
              <w:fldChar w:fldCharType="separate"/>
            </w:r>
            <w:r w:rsidR="00C5290F">
              <w:rPr>
                <w:noProof/>
                <w:webHidden/>
              </w:rPr>
              <w:t>50</w:t>
            </w:r>
            <w:r w:rsidR="00C5290F">
              <w:rPr>
                <w:noProof/>
                <w:webHidden/>
              </w:rPr>
              <w:fldChar w:fldCharType="end"/>
            </w:r>
          </w:hyperlink>
        </w:p>
        <w:p w:rsidR="00C5290F" w:rsidRDefault="002E6059">
          <w:pPr>
            <w:pStyle w:val="TOC2"/>
            <w:tabs>
              <w:tab w:val="right" w:leader="dot" w:pos="9016"/>
            </w:tabs>
            <w:rPr>
              <w:rFonts w:asciiTheme="minorHAnsi" w:hAnsiTheme="minorHAnsi"/>
              <w:noProof/>
              <w:sz w:val="22"/>
            </w:rPr>
          </w:pPr>
          <w:hyperlink w:anchor="_Toc489537771" w:history="1">
            <w:r w:rsidR="00C5290F" w:rsidRPr="006A4FF5">
              <w:rPr>
                <w:rStyle w:val="Hyperlink"/>
                <w:noProof/>
              </w:rPr>
              <w:t>3.6 Trade of agricultural, forestry and fisheries</w:t>
            </w:r>
            <w:r w:rsidR="00C5290F">
              <w:rPr>
                <w:noProof/>
                <w:webHidden/>
              </w:rPr>
              <w:tab/>
            </w:r>
            <w:r w:rsidR="00C5290F">
              <w:rPr>
                <w:noProof/>
                <w:webHidden/>
              </w:rPr>
              <w:fldChar w:fldCharType="begin"/>
            </w:r>
            <w:r w:rsidR="00C5290F">
              <w:rPr>
                <w:noProof/>
                <w:webHidden/>
              </w:rPr>
              <w:instrText xml:space="preserve"> PAGEREF _Toc489537771 \h </w:instrText>
            </w:r>
            <w:r w:rsidR="00C5290F">
              <w:rPr>
                <w:noProof/>
                <w:webHidden/>
              </w:rPr>
            </w:r>
            <w:r w:rsidR="00C5290F">
              <w:rPr>
                <w:noProof/>
                <w:webHidden/>
              </w:rPr>
              <w:fldChar w:fldCharType="separate"/>
            </w:r>
            <w:r w:rsidR="00C5290F">
              <w:rPr>
                <w:noProof/>
                <w:webHidden/>
              </w:rPr>
              <w:t>53</w:t>
            </w:r>
            <w:r w:rsidR="00C5290F">
              <w:rPr>
                <w:noProof/>
                <w:webHidden/>
              </w:rPr>
              <w:fldChar w:fldCharType="end"/>
            </w:r>
          </w:hyperlink>
        </w:p>
        <w:p w:rsidR="00C5290F" w:rsidRDefault="002E6059">
          <w:pPr>
            <w:pStyle w:val="TOC2"/>
            <w:tabs>
              <w:tab w:val="right" w:leader="dot" w:pos="9016"/>
            </w:tabs>
            <w:rPr>
              <w:rFonts w:asciiTheme="minorHAnsi" w:hAnsiTheme="minorHAnsi"/>
              <w:noProof/>
              <w:sz w:val="22"/>
            </w:rPr>
          </w:pPr>
          <w:hyperlink w:anchor="_Toc489537777" w:history="1">
            <w:r w:rsidR="00C5290F" w:rsidRPr="006A4FF5">
              <w:rPr>
                <w:rStyle w:val="Hyperlink"/>
                <w:noProof/>
              </w:rPr>
              <w:t>3.6.1 Fisheries trade</w:t>
            </w:r>
            <w:r w:rsidR="00C5290F">
              <w:rPr>
                <w:noProof/>
                <w:webHidden/>
              </w:rPr>
              <w:tab/>
            </w:r>
            <w:r w:rsidR="00C5290F">
              <w:rPr>
                <w:noProof/>
                <w:webHidden/>
              </w:rPr>
              <w:fldChar w:fldCharType="begin"/>
            </w:r>
            <w:r w:rsidR="00C5290F">
              <w:rPr>
                <w:noProof/>
                <w:webHidden/>
              </w:rPr>
              <w:instrText xml:space="preserve"> PAGEREF _Toc489537777 \h </w:instrText>
            </w:r>
            <w:r w:rsidR="00C5290F">
              <w:rPr>
                <w:noProof/>
                <w:webHidden/>
              </w:rPr>
            </w:r>
            <w:r w:rsidR="00C5290F">
              <w:rPr>
                <w:noProof/>
                <w:webHidden/>
              </w:rPr>
              <w:fldChar w:fldCharType="separate"/>
            </w:r>
            <w:r w:rsidR="00C5290F">
              <w:rPr>
                <w:noProof/>
                <w:webHidden/>
              </w:rPr>
              <w:t>56</w:t>
            </w:r>
            <w:r w:rsidR="00C5290F">
              <w:rPr>
                <w:noProof/>
                <w:webHidden/>
              </w:rPr>
              <w:fldChar w:fldCharType="end"/>
            </w:r>
          </w:hyperlink>
        </w:p>
        <w:p w:rsidR="00C5290F" w:rsidRDefault="002E6059">
          <w:pPr>
            <w:pStyle w:val="TOC2"/>
            <w:tabs>
              <w:tab w:val="right" w:leader="dot" w:pos="9016"/>
            </w:tabs>
            <w:rPr>
              <w:rFonts w:asciiTheme="minorHAnsi" w:hAnsiTheme="minorHAnsi"/>
              <w:noProof/>
              <w:sz w:val="22"/>
            </w:rPr>
          </w:pPr>
          <w:hyperlink w:anchor="_Toc489537781" w:history="1">
            <w:r w:rsidR="00C5290F" w:rsidRPr="006A4FF5">
              <w:rPr>
                <w:rStyle w:val="Hyperlink"/>
                <w:noProof/>
              </w:rPr>
              <w:t>3.6.2 Forestry trade</w:t>
            </w:r>
            <w:r w:rsidR="00C5290F">
              <w:rPr>
                <w:noProof/>
                <w:webHidden/>
              </w:rPr>
              <w:tab/>
            </w:r>
            <w:r w:rsidR="00C5290F">
              <w:rPr>
                <w:noProof/>
                <w:webHidden/>
              </w:rPr>
              <w:fldChar w:fldCharType="begin"/>
            </w:r>
            <w:r w:rsidR="00C5290F">
              <w:rPr>
                <w:noProof/>
                <w:webHidden/>
              </w:rPr>
              <w:instrText xml:space="preserve"> PAGEREF _Toc489537781 \h </w:instrText>
            </w:r>
            <w:r w:rsidR="00C5290F">
              <w:rPr>
                <w:noProof/>
                <w:webHidden/>
              </w:rPr>
            </w:r>
            <w:r w:rsidR="00C5290F">
              <w:rPr>
                <w:noProof/>
                <w:webHidden/>
              </w:rPr>
              <w:fldChar w:fldCharType="separate"/>
            </w:r>
            <w:r w:rsidR="00C5290F">
              <w:rPr>
                <w:noProof/>
                <w:webHidden/>
              </w:rPr>
              <w:t>58</w:t>
            </w:r>
            <w:r w:rsidR="00C5290F">
              <w:rPr>
                <w:noProof/>
                <w:webHidden/>
              </w:rPr>
              <w:fldChar w:fldCharType="end"/>
            </w:r>
          </w:hyperlink>
        </w:p>
        <w:p w:rsidR="00C5290F" w:rsidRDefault="002E6059">
          <w:pPr>
            <w:pStyle w:val="TOC2"/>
            <w:tabs>
              <w:tab w:val="right" w:leader="dot" w:pos="9016"/>
            </w:tabs>
            <w:rPr>
              <w:rFonts w:asciiTheme="minorHAnsi" w:hAnsiTheme="minorHAnsi"/>
              <w:noProof/>
              <w:sz w:val="22"/>
            </w:rPr>
          </w:pPr>
          <w:hyperlink w:anchor="_Toc489537785" w:history="1">
            <w:r w:rsidR="00C5290F" w:rsidRPr="006A4FF5">
              <w:rPr>
                <w:rStyle w:val="Hyperlink"/>
                <w:noProof/>
              </w:rPr>
              <w:t>References</w:t>
            </w:r>
            <w:r w:rsidR="00C5290F">
              <w:rPr>
                <w:noProof/>
                <w:webHidden/>
              </w:rPr>
              <w:tab/>
            </w:r>
            <w:r w:rsidR="00C5290F">
              <w:rPr>
                <w:noProof/>
                <w:webHidden/>
              </w:rPr>
              <w:fldChar w:fldCharType="begin"/>
            </w:r>
            <w:r w:rsidR="00C5290F">
              <w:rPr>
                <w:noProof/>
                <w:webHidden/>
              </w:rPr>
              <w:instrText xml:space="preserve"> PAGEREF _Toc489537785 \h </w:instrText>
            </w:r>
            <w:r w:rsidR="00C5290F">
              <w:rPr>
                <w:noProof/>
                <w:webHidden/>
              </w:rPr>
            </w:r>
            <w:r w:rsidR="00C5290F">
              <w:rPr>
                <w:noProof/>
                <w:webHidden/>
              </w:rPr>
              <w:fldChar w:fldCharType="separate"/>
            </w:r>
            <w:r w:rsidR="00C5290F">
              <w:rPr>
                <w:noProof/>
                <w:webHidden/>
              </w:rPr>
              <w:t>61</w:t>
            </w:r>
            <w:r w:rsidR="00C5290F">
              <w:rPr>
                <w:noProof/>
                <w:webHidden/>
              </w:rPr>
              <w:fldChar w:fldCharType="end"/>
            </w:r>
          </w:hyperlink>
        </w:p>
        <w:p w:rsidR="00B22323" w:rsidRDefault="00B22323">
          <w:r>
            <w:rPr>
              <w:b/>
              <w:bCs/>
              <w:noProof/>
            </w:rPr>
            <w:fldChar w:fldCharType="end"/>
          </w:r>
        </w:p>
      </w:sdtContent>
    </w:sdt>
    <w:p w:rsidR="0005563C" w:rsidRPr="0005563C" w:rsidRDefault="0005563C" w:rsidP="0005563C"/>
    <w:p w:rsidR="0005563C" w:rsidRPr="0005563C" w:rsidRDefault="0005563C" w:rsidP="0005563C"/>
    <w:p w:rsidR="0005563C" w:rsidRPr="0005563C" w:rsidRDefault="0005563C" w:rsidP="0005563C"/>
    <w:p w:rsidR="0005563C" w:rsidRDefault="0005563C" w:rsidP="0005563C"/>
    <w:p w:rsidR="00455395" w:rsidRDefault="00455395" w:rsidP="00A6420E">
      <w:pPr>
        <w:spacing w:after="0" w:line="360" w:lineRule="auto"/>
        <w:jc w:val="both"/>
        <w:rPr>
          <w:rFonts w:cs="Arial"/>
          <w:b/>
        </w:rPr>
      </w:pPr>
      <w:r>
        <w:rPr>
          <w:rFonts w:cs="Arial"/>
          <w:b/>
        </w:rPr>
        <w:t xml:space="preserve">                                                                                                                                                                                          </w:t>
      </w:r>
      <w:r w:rsidR="0018202D">
        <w:rPr>
          <w:rFonts w:cs="Arial"/>
          <w:b/>
        </w:rPr>
        <w:t xml:space="preserve">                               </w:t>
      </w:r>
    </w:p>
    <w:p w:rsidR="00455395" w:rsidRDefault="00455395" w:rsidP="00A6420E">
      <w:pPr>
        <w:spacing w:after="0" w:line="360" w:lineRule="auto"/>
        <w:jc w:val="both"/>
        <w:rPr>
          <w:rFonts w:cs="Arial"/>
          <w:b/>
        </w:rPr>
      </w:pPr>
    </w:p>
    <w:p w:rsidR="00A40A77" w:rsidRDefault="000E4873" w:rsidP="00A6420E">
      <w:pPr>
        <w:spacing w:after="0" w:line="360" w:lineRule="auto"/>
        <w:jc w:val="both"/>
        <w:rPr>
          <w:rFonts w:cs="Arial"/>
          <w:b/>
        </w:rPr>
      </w:pPr>
      <w:r w:rsidRPr="004222F2">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1" locked="0" layoutInCell="1" allowOverlap="0" wp14:anchorId="46AEC505" wp14:editId="39C93A51">
                <wp:simplePos x="0" y="0"/>
                <wp:positionH relativeFrom="column">
                  <wp:posOffset>204470</wp:posOffset>
                </wp:positionH>
                <wp:positionV relativeFrom="paragraph">
                  <wp:posOffset>123825</wp:posOffset>
                </wp:positionV>
                <wp:extent cx="2743200" cy="394335"/>
                <wp:effectExtent l="0" t="0" r="19050" b="62865"/>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94335"/>
                        </a:xfrm>
                        <a:prstGeom prst="rect">
                          <a:avLst/>
                        </a:prstGeom>
                        <a:solidFill>
                          <a:srgbClr val="EAF1DD"/>
                        </a:solidFill>
                        <a:ln w="9525">
                          <a:solidFill>
                            <a:srgbClr val="94B64E"/>
                          </a:solidFill>
                          <a:miter lim="800000"/>
                          <a:headEnd/>
                          <a:tailEnd/>
                        </a:ln>
                        <a:effectLst>
                          <a:outerShdw dist="20000" dir="5400000" rotWithShape="0">
                            <a:srgbClr val="000000">
                              <a:alpha val="37999"/>
                            </a:srgbClr>
                          </a:outerShdw>
                        </a:effectLst>
                      </wps:spPr>
                      <wps:txbx>
                        <w:txbxContent>
                          <w:p w:rsidR="002E6059" w:rsidRPr="00F3286C" w:rsidRDefault="002E6059" w:rsidP="001E59A4">
                            <w:pPr>
                              <w:pStyle w:val="Heading1"/>
                              <w:rPr>
                                <w:rStyle w:val="StyleAvantGardeBkBT10pt"/>
                              </w:rPr>
                            </w:pPr>
                            <w:bookmarkStart w:id="2" w:name="_Toc489345732"/>
                            <w:bookmarkStart w:id="3" w:name="_Toc489345937"/>
                            <w:bookmarkStart w:id="4" w:name="_Toc489537694"/>
                            <w:bookmarkStart w:id="5" w:name="_Toc489538102"/>
                            <w:bookmarkStart w:id="6" w:name="_Toc489539678"/>
                            <w:bookmarkStart w:id="7" w:name="_Toc489539774"/>
                            <w:bookmarkStart w:id="8" w:name="_Toc489539876"/>
                            <w:bookmarkStart w:id="9" w:name="_Toc489539978"/>
                            <w:bookmarkStart w:id="10" w:name="_Toc489540074"/>
                            <w:r w:rsidRPr="00F3286C">
                              <w:rPr>
                                <w:rStyle w:val="StyleAvantGardeBkBT10pt"/>
                              </w:rPr>
                              <w:t>EXECUTIVE SUMMARY</w:t>
                            </w:r>
                            <w:bookmarkEnd w:id="2"/>
                            <w:bookmarkEnd w:id="3"/>
                            <w:bookmarkEnd w:id="4"/>
                            <w:bookmarkEnd w:id="5"/>
                            <w:bookmarkEnd w:id="6"/>
                            <w:bookmarkEnd w:id="7"/>
                            <w:bookmarkEnd w:id="8"/>
                            <w:bookmarkEnd w:id="9"/>
                            <w:bookmarkEnd w:id="10"/>
                            <w:r w:rsidRPr="00F3286C">
                              <w:rPr>
                                <w:rStyle w:val="StyleAvantGardeBkBT10pt"/>
                              </w:rPr>
                              <w:t xml:space="preserve"> </w:t>
                            </w:r>
                          </w:p>
                          <w:p w:rsidR="002E6059" w:rsidRDefault="002E6059" w:rsidP="000E4873"/>
                          <w:p w:rsidR="002E6059" w:rsidRDefault="002E6059" w:rsidP="000E4873"/>
                          <w:p w:rsidR="002E6059" w:rsidRDefault="002E6059" w:rsidP="000E4873"/>
                          <w:p w:rsidR="002E6059" w:rsidRDefault="002E6059" w:rsidP="000E4873"/>
                          <w:p w:rsidR="002E6059" w:rsidRPr="00D25492" w:rsidRDefault="002E6059" w:rsidP="000E4873"/>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9" style="position:absolute;left:0;text-align:left;margin-left:16.1pt;margin-top:9.75pt;width:3in;height:31.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" o:allowoverlap="f" fillcolor="#eaf1dd" strokecolor="#94b64e">
                <v:shadow on="t" color="black" opacity="24903f" origin=",.5" offset="0,.55556mm"/>
                <v:textbox>
                  <w:txbxContent>
                    <w:p w:rsidR="002E6059" w:rsidRPr="00F3286C" w:rsidRDefault="002E6059" w:rsidP="001E59A4">
                      <w:pPr>
                        <w:pStyle w:val="Heading1"/>
                        <w:rPr>
                          <w:rStyle w:val="StyleAvantGardeBkBT10pt"/>
                        </w:rPr>
                      </w:pPr>
                      <w:bookmarkStart w:id="11" w:name="_Toc489345732"/>
                      <w:bookmarkStart w:id="12" w:name="_Toc489345937"/>
                      <w:bookmarkStart w:id="13" w:name="_Toc489537694"/>
                      <w:bookmarkStart w:id="14" w:name="_Toc489538102"/>
                      <w:bookmarkStart w:id="15" w:name="_Toc489539678"/>
                      <w:bookmarkStart w:id="16" w:name="_Toc489539774"/>
                      <w:bookmarkStart w:id="17" w:name="_Toc489539876"/>
                      <w:bookmarkStart w:id="18" w:name="_Toc489539978"/>
                      <w:bookmarkStart w:id="19" w:name="_Toc489540074"/>
                      <w:r w:rsidRPr="00F3286C">
                        <w:rPr>
                          <w:rStyle w:val="StyleAvantGardeBkBT10pt"/>
                        </w:rPr>
                        <w:t>EXECUTIVE SUMMARY</w:t>
                      </w:r>
                      <w:bookmarkEnd w:id="11"/>
                      <w:bookmarkEnd w:id="12"/>
                      <w:bookmarkEnd w:id="13"/>
                      <w:bookmarkEnd w:id="14"/>
                      <w:bookmarkEnd w:id="15"/>
                      <w:bookmarkEnd w:id="16"/>
                      <w:bookmarkEnd w:id="17"/>
                      <w:bookmarkEnd w:id="18"/>
                      <w:bookmarkEnd w:id="19"/>
                      <w:r w:rsidRPr="00F3286C">
                        <w:rPr>
                          <w:rStyle w:val="StyleAvantGardeBkBT10pt"/>
                        </w:rPr>
                        <w:t xml:space="preserve"> </w:t>
                      </w:r>
                    </w:p>
                    <w:p w:rsidR="002E6059" w:rsidRDefault="002E6059" w:rsidP="000E4873"/>
                    <w:p w:rsidR="002E6059" w:rsidRDefault="002E6059" w:rsidP="000E4873"/>
                    <w:p w:rsidR="002E6059" w:rsidRDefault="002E6059" w:rsidP="000E4873"/>
                    <w:p w:rsidR="002E6059" w:rsidRDefault="002E6059" w:rsidP="000E4873"/>
                    <w:p w:rsidR="002E6059" w:rsidRPr="00D25492" w:rsidRDefault="002E6059" w:rsidP="000E4873"/>
                  </w:txbxContent>
                </v:textbox>
              </v:rect>
            </w:pict>
          </mc:Fallback>
        </mc:AlternateContent>
      </w:r>
    </w:p>
    <w:p w:rsidR="001E59A4" w:rsidRDefault="001E59A4" w:rsidP="00A6420E">
      <w:pPr>
        <w:spacing w:after="0" w:line="360" w:lineRule="auto"/>
        <w:jc w:val="both"/>
        <w:rPr>
          <w:rFonts w:cs="Arial"/>
          <w:b/>
        </w:rPr>
      </w:pPr>
    </w:p>
    <w:p w:rsidR="001E59A4" w:rsidRDefault="001E59A4" w:rsidP="00A6420E">
      <w:pPr>
        <w:spacing w:after="0" w:line="360" w:lineRule="auto"/>
        <w:jc w:val="both"/>
        <w:rPr>
          <w:rFonts w:cs="Arial"/>
          <w:b/>
        </w:rPr>
      </w:pPr>
    </w:p>
    <w:p w:rsidR="00455395" w:rsidRDefault="00455395" w:rsidP="00A6420E">
      <w:pPr>
        <w:spacing w:after="0" w:line="360" w:lineRule="auto"/>
        <w:jc w:val="both"/>
        <w:rPr>
          <w:rFonts w:cs="Arial"/>
          <w:b/>
        </w:rPr>
      </w:pPr>
    </w:p>
    <w:p w:rsidR="00646C6B" w:rsidRPr="000C17E4" w:rsidRDefault="00AE5E6A" w:rsidP="00A6420E">
      <w:pPr>
        <w:spacing w:after="0" w:line="360" w:lineRule="auto"/>
        <w:jc w:val="both"/>
        <w:rPr>
          <w:rFonts w:eastAsia="Times New Roman" w:cs="Arial"/>
          <w:sz w:val="24"/>
          <w:szCs w:val="24"/>
          <w:lang w:val="en-GB"/>
        </w:rPr>
      </w:pPr>
      <w:r w:rsidRPr="000C17E4">
        <w:rPr>
          <w:rFonts w:eastAsia="Times New Roman" w:cs="Arial"/>
          <w:b/>
          <w:sz w:val="24"/>
          <w:szCs w:val="24"/>
          <w:lang w:val="en-GB"/>
        </w:rPr>
        <w:t>Global growth prospects:</w:t>
      </w:r>
      <w:r w:rsidR="003C33AB" w:rsidRPr="000C17E4">
        <w:rPr>
          <w:rFonts w:cs="Arial"/>
          <w:sz w:val="24"/>
          <w:szCs w:val="24"/>
        </w:rPr>
        <w:t xml:space="preserve"> </w:t>
      </w:r>
      <w:r w:rsidR="00DE08CB" w:rsidRPr="000C17E4">
        <w:rPr>
          <w:rFonts w:cs="Arial"/>
          <w:sz w:val="24"/>
          <w:szCs w:val="24"/>
        </w:rPr>
        <w:t>Global growth in 2017 is</w:t>
      </w:r>
      <w:r w:rsidR="00895AFB" w:rsidRPr="000C17E4">
        <w:rPr>
          <w:rFonts w:cs="Arial"/>
          <w:sz w:val="24"/>
          <w:szCs w:val="24"/>
        </w:rPr>
        <w:t xml:space="preserve"> forecast</w:t>
      </w:r>
      <w:r w:rsidR="00DE08CB" w:rsidRPr="000C17E4">
        <w:rPr>
          <w:rFonts w:cs="Arial"/>
          <w:sz w:val="24"/>
          <w:szCs w:val="24"/>
        </w:rPr>
        <w:t>ed to</w:t>
      </w:r>
      <w:r w:rsidR="00895AFB" w:rsidRPr="000C17E4">
        <w:rPr>
          <w:rFonts w:cs="Arial"/>
          <w:sz w:val="24"/>
          <w:szCs w:val="24"/>
        </w:rPr>
        <w:t xml:space="preserve"> strengthen to 2</w:t>
      </w:r>
      <w:proofErr w:type="gramStart"/>
      <w:r w:rsidR="00C419BB">
        <w:rPr>
          <w:rFonts w:cs="Arial"/>
          <w:sz w:val="24"/>
          <w:szCs w:val="24"/>
        </w:rPr>
        <w:t>,</w:t>
      </w:r>
      <w:r w:rsidR="00895AFB" w:rsidRPr="000C17E4">
        <w:rPr>
          <w:rFonts w:cs="Arial"/>
          <w:sz w:val="24"/>
          <w:szCs w:val="24"/>
        </w:rPr>
        <w:t>7</w:t>
      </w:r>
      <w:proofErr w:type="gramEnd"/>
      <w:r w:rsidR="00C419BB">
        <w:rPr>
          <w:rFonts w:cs="Arial"/>
          <w:sz w:val="24"/>
          <w:szCs w:val="24"/>
        </w:rPr>
        <w:t>%</w:t>
      </w:r>
      <w:r w:rsidR="00895AFB" w:rsidRPr="000C17E4">
        <w:rPr>
          <w:rFonts w:cs="Arial"/>
          <w:sz w:val="24"/>
          <w:szCs w:val="24"/>
        </w:rPr>
        <w:t xml:space="preserve"> amid a pickup in manufacturing and trade, rising confidence, favo</w:t>
      </w:r>
      <w:r w:rsidR="00C419BB">
        <w:rPr>
          <w:rFonts w:cs="Arial"/>
          <w:sz w:val="24"/>
          <w:szCs w:val="24"/>
        </w:rPr>
        <w:t>u</w:t>
      </w:r>
      <w:r w:rsidR="00895AFB" w:rsidRPr="000C17E4">
        <w:rPr>
          <w:rFonts w:cs="Arial"/>
          <w:sz w:val="24"/>
          <w:szCs w:val="24"/>
        </w:rPr>
        <w:t>rable global financing conditions, and stabili</w:t>
      </w:r>
      <w:r w:rsidR="00C419BB">
        <w:rPr>
          <w:rFonts w:cs="Arial"/>
          <w:sz w:val="24"/>
          <w:szCs w:val="24"/>
        </w:rPr>
        <w:t>s</w:t>
      </w:r>
      <w:r w:rsidR="00895AFB" w:rsidRPr="000C17E4">
        <w:rPr>
          <w:rFonts w:cs="Arial"/>
          <w:sz w:val="24"/>
          <w:szCs w:val="24"/>
        </w:rPr>
        <w:t>ing commodity prices. Growth in advanced economies is expected to accelerate to 1</w:t>
      </w:r>
      <w:proofErr w:type="gramStart"/>
      <w:r w:rsidR="00C419BB">
        <w:rPr>
          <w:rFonts w:cs="Arial"/>
          <w:sz w:val="24"/>
          <w:szCs w:val="24"/>
        </w:rPr>
        <w:t>,</w:t>
      </w:r>
      <w:r w:rsidR="00895AFB" w:rsidRPr="000C17E4">
        <w:rPr>
          <w:rFonts w:cs="Arial"/>
          <w:sz w:val="24"/>
          <w:szCs w:val="24"/>
        </w:rPr>
        <w:t>9</w:t>
      </w:r>
      <w:proofErr w:type="gramEnd"/>
      <w:r w:rsidR="00895AFB" w:rsidRPr="000C17E4">
        <w:rPr>
          <w:rFonts w:cs="Arial"/>
          <w:sz w:val="24"/>
          <w:szCs w:val="24"/>
        </w:rPr>
        <w:t xml:space="preserve"> percent in 2017, a benefit to their trading partners. Growth in emerging market and developing economies will recover to 4</w:t>
      </w:r>
      <w:proofErr w:type="gramStart"/>
      <w:r w:rsidR="00C419BB">
        <w:rPr>
          <w:rFonts w:cs="Arial"/>
          <w:sz w:val="24"/>
          <w:szCs w:val="24"/>
        </w:rPr>
        <w:t>,</w:t>
      </w:r>
      <w:r w:rsidR="00895AFB" w:rsidRPr="000C17E4">
        <w:rPr>
          <w:rFonts w:cs="Arial"/>
          <w:sz w:val="24"/>
          <w:szCs w:val="24"/>
        </w:rPr>
        <w:t>1</w:t>
      </w:r>
      <w:proofErr w:type="gramEnd"/>
      <w:r w:rsidR="00C419BB">
        <w:rPr>
          <w:rFonts w:cs="Arial"/>
          <w:sz w:val="24"/>
          <w:szCs w:val="24"/>
        </w:rPr>
        <w:t>%</w:t>
      </w:r>
      <w:r w:rsidR="00895AFB" w:rsidRPr="000C17E4">
        <w:rPr>
          <w:rFonts w:cs="Arial"/>
          <w:sz w:val="24"/>
          <w:szCs w:val="24"/>
        </w:rPr>
        <w:t xml:space="preserve"> this year, as obstacles to activity diminish in commodity-exporting countries.</w:t>
      </w:r>
      <w:r w:rsidR="00BD333C" w:rsidRPr="000C17E4">
        <w:rPr>
          <w:rFonts w:cs="Arial"/>
          <w:sz w:val="24"/>
          <w:szCs w:val="24"/>
        </w:rPr>
        <w:t xml:space="preserve"> </w:t>
      </w:r>
      <w:r w:rsidR="003C33AB" w:rsidRPr="000C17E4">
        <w:rPr>
          <w:rFonts w:eastAsia="Times New Roman" w:cs="Arial"/>
          <w:sz w:val="24"/>
          <w:szCs w:val="24"/>
          <w:lang w:val="en-GB"/>
        </w:rPr>
        <w:t>Economic performance across emerging market and developing economies has remained mixed.</w:t>
      </w:r>
    </w:p>
    <w:p w:rsidR="00895AFB" w:rsidRPr="000C17E4" w:rsidRDefault="00895AFB" w:rsidP="00A6420E">
      <w:pPr>
        <w:spacing w:after="0" w:line="360" w:lineRule="auto"/>
        <w:jc w:val="both"/>
        <w:rPr>
          <w:rFonts w:cs="Arial"/>
          <w:color w:val="FF0000"/>
          <w:sz w:val="24"/>
          <w:szCs w:val="24"/>
        </w:rPr>
      </w:pPr>
    </w:p>
    <w:p w:rsidR="00646C6B" w:rsidRPr="000C17E4" w:rsidRDefault="00AE5E6A" w:rsidP="00A6420E">
      <w:pPr>
        <w:spacing w:after="0" w:line="360" w:lineRule="auto"/>
        <w:jc w:val="both"/>
        <w:rPr>
          <w:rFonts w:cs="Arial"/>
          <w:sz w:val="24"/>
          <w:szCs w:val="24"/>
        </w:rPr>
      </w:pPr>
      <w:r w:rsidRPr="000C17E4">
        <w:rPr>
          <w:rFonts w:eastAsia="Times New Roman" w:cs="Arial"/>
          <w:b/>
          <w:color w:val="000000"/>
          <w:sz w:val="24"/>
          <w:szCs w:val="24"/>
          <w:lang w:val="en-GB"/>
        </w:rPr>
        <w:t>Global grain supply forecast:</w:t>
      </w:r>
      <w:r w:rsidR="0074283D" w:rsidRPr="000C17E4">
        <w:rPr>
          <w:rFonts w:cs="Arial"/>
          <w:sz w:val="24"/>
          <w:szCs w:val="24"/>
        </w:rPr>
        <w:t xml:space="preserve"> The global total Grain production in 2017/18 is expected to retreat by 3% from the previous season’s record. Global total </w:t>
      </w:r>
      <w:r w:rsidR="007E0991">
        <w:rPr>
          <w:rFonts w:cs="Arial"/>
          <w:sz w:val="24"/>
          <w:szCs w:val="24"/>
        </w:rPr>
        <w:t>g</w:t>
      </w:r>
      <w:r w:rsidR="0074283D" w:rsidRPr="000C17E4">
        <w:rPr>
          <w:rFonts w:cs="Arial"/>
          <w:sz w:val="24"/>
          <w:szCs w:val="24"/>
        </w:rPr>
        <w:t>rain trade will probably stay high in 2017/18; reductions for wheat and barley account for most of the small projected decline. Global soya bean supplies are likely to stay elevated in 2017/18 but, due to rising uptake, stocks could contract by 9% year on year. The global grain supply forecast indicates a total grain increase of 4</w:t>
      </w:r>
      <w:proofErr w:type="gramStart"/>
      <w:r w:rsidR="007E0991">
        <w:rPr>
          <w:rFonts w:cs="Arial"/>
          <w:sz w:val="24"/>
          <w:szCs w:val="24"/>
        </w:rPr>
        <w:t>,</w:t>
      </w:r>
      <w:r w:rsidR="0074283D" w:rsidRPr="000C17E4">
        <w:rPr>
          <w:rFonts w:cs="Arial"/>
          <w:sz w:val="24"/>
          <w:szCs w:val="24"/>
        </w:rPr>
        <w:t>6</w:t>
      </w:r>
      <w:proofErr w:type="gramEnd"/>
      <w:r w:rsidR="0074283D" w:rsidRPr="000C17E4">
        <w:rPr>
          <w:rFonts w:cs="Arial"/>
          <w:sz w:val="24"/>
          <w:szCs w:val="24"/>
        </w:rPr>
        <w:t>%, from 3027</w:t>
      </w:r>
      <w:r w:rsidR="007E0991">
        <w:rPr>
          <w:rFonts w:cs="Arial"/>
          <w:sz w:val="24"/>
          <w:szCs w:val="24"/>
        </w:rPr>
        <w:t>,</w:t>
      </w:r>
      <w:r w:rsidR="0074283D" w:rsidRPr="000C17E4">
        <w:rPr>
          <w:rFonts w:cs="Arial"/>
          <w:sz w:val="24"/>
          <w:szCs w:val="24"/>
        </w:rPr>
        <w:t>72 million metric tons in 2016 (Q1) to 3166</w:t>
      </w:r>
      <w:r w:rsidR="007E0991">
        <w:rPr>
          <w:rFonts w:cs="Arial"/>
          <w:sz w:val="24"/>
          <w:szCs w:val="24"/>
        </w:rPr>
        <w:t>,</w:t>
      </w:r>
      <w:r w:rsidR="0074283D" w:rsidRPr="000C17E4">
        <w:rPr>
          <w:rFonts w:cs="Arial"/>
          <w:sz w:val="24"/>
          <w:szCs w:val="24"/>
        </w:rPr>
        <w:t>43 million metric tons in 2017 (Q1).</w:t>
      </w:r>
    </w:p>
    <w:p w:rsidR="0074283D" w:rsidRPr="000C17E4" w:rsidRDefault="0074283D" w:rsidP="00A6420E">
      <w:pPr>
        <w:spacing w:after="0" w:line="360" w:lineRule="auto"/>
        <w:jc w:val="both"/>
        <w:rPr>
          <w:rFonts w:cs="Arial"/>
          <w:b/>
          <w:sz w:val="24"/>
          <w:szCs w:val="24"/>
        </w:rPr>
      </w:pPr>
    </w:p>
    <w:p w:rsidR="00646C6B" w:rsidRPr="000C17E4" w:rsidRDefault="00AE5E6A" w:rsidP="00A6420E">
      <w:pPr>
        <w:spacing w:after="0" w:line="360" w:lineRule="auto"/>
        <w:jc w:val="both"/>
        <w:rPr>
          <w:rFonts w:eastAsia="Times New Roman" w:cs="Arial"/>
          <w:color w:val="000000"/>
          <w:sz w:val="24"/>
          <w:szCs w:val="24"/>
          <w:lang w:val="en-GB"/>
        </w:rPr>
      </w:pPr>
      <w:r w:rsidRPr="000C17E4">
        <w:rPr>
          <w:rFonts w:eastAsia="Times New Roman" w:cs="Arial"/>
          <w:b/>
          <w:color w:val="000000"/>
          <w:sz w:val="24"/>
          <w:szCs w:val="24"/>
          <w:lang w:val="en-GB"/>
        </w:rPr>
        <w:t>South Africa GDP:</w:t>
      </w:r>
      <w:r w:rsidR="00712A85" w:rsidRPr="000C17E4">
        <w:rPr>
          <w:sz w:val="24"/>
          <w:szCs w:val="24"/>
        </w:rPr>
        <w:t xml:space="preserve"> </w:t>
      </w:r>
      <w:r w:rsidR="00712A85" w:rsidRPr="000C17E4">
        <w:rPr>
          <w:rFonts w:cs="Arial"/>
          <w:sz w:val="24"/>
          <w:szCs w:val="24"/>
        </w:rPr>
        <w:t xml:space="preserve">South </w:t>
      </w:r>
      <w:proofErr w:type="spellStart"/>
      <w:r w:rsidR="00712A85" w:rsidRPr="000C17E4">
        <w:rPr>
          <w:rFonts w:cs="Arial"/>
          <w:sz w:val="24"/>
          <w:szCs w:val="24"/>
        </w:rPr>
        <w:t>Africas</w:t>
      </w:r>
      <w:proofErr w:type="spellEnd"/>
      <w:r w:rsidR="00712A85" w:rsidRPr="000C17E4">
        <w:rPr>
          <w:rFonts w:cs="Arial"/>
          <w:sz w:val="24"/>
          <w:szCs w:val="24"/>
        </w:rPr>
        <w:t xml:space="preserve"> GDP </w:t>
      </w:r>
      <w:r w:rsidR="00712A85" w:rsidRPr="000C17E4">
        <w:rPr>
          <w:rFonts w:eastAsia="Times New Roman" w:cs="Arial"/>
          <w:color w:val="000000"/>
          <w:sz w:val="24"/>
          <w:szCs w:val="24"/>
          <w:lang w:val="en-GB"/>
        </w:rPr>
        <w:t>decreased by 0</w:t>
      </w:r>
      <w:proofErr w:type="gramStart"/>
      <w:r w:rsidR="00712A85" w:rsidRPr="000C17E4">
        <w:rPr>
          <w:rFonts w:eastAsia="Times New Roman" w:cs="Arial"/>
          <w:color w:val="000000"/>
          <w:sz w:val="24"/>
          <w:szCs w:val="24"/>
          <w:lang w:val="en-GB"/>
        </w:rPr>
        <w:t>,7</w:t>
      </w:r>
      <w:proofErr w:type="gramEnd"/>
      <w:r w:rsidR="00712A85" w:rsidRPr="000C17E4">
        <w:rPr>
          <w:rFonts w:eastAsia="Times New Roman" w:cs="Arial"/>
          <w:color w:val="000000"/>
          <w:sz w:val="24"/>
          <w:szCs w:val="24"/>
          <w:lang w:val="en-GB"/>
        </w:rPr>
        <w:t>% in GDP during the first quarter of 2017, following a 0,3% contraction in the fourth quarter of 2016.</w:t>
      </w:r>
      <w:r w:rsidR="00712A85" w:rsidRPr="000C17E4">
        <w:rPr>
          <w:rFonts w:cs="Arial"/>
          <w:sz w:val="24"/>
          <w:szCs w:val="24"/>
        </w:rPr>
        <w:t xml:space="preserve"> </w:t>
      </w:r>
      <w:r w:rsidR="00712A85" w:rsidRPr="000C17E4">
        <w:rPr>
          <w:rFonts w:eastAsia="Times New Roman" w:cs="Arial"/>
          <w:color w:val="000000"/>
          <w:sz w:val="24"/>
          <w:szCs w:val="24"/>
          <w:lang w:val="en-GB"/>
        </w:rPr>
        <w:t xml:space="preserve">The </w:t>
      </w:r>
      <w:proofErr w:type="gramStart"/>
      <w:r w:rsidR="00712A85" w:rsidRPr="000C17E4">
        <w:rPr>
          <w:rFonts w:eastAsia="Times New Roman" w:cs="Arial"/>
          <w:color w:val="000000"/>
          <w:sz w:val="24"/>
          <w:szCs w:val="24"/>
          <w:lang w:val="en-GB"/>
        </w:rPr>
        <w:t>contraction  manufacturing</w:t>
      </w:r>
      <w:proofErr w:type="gramEnd"/>
      <w:r w:rsidR="00712A85" w:rsidRPr="000C17E4">
        <w:rPr>
          <w:rFonts w:eastAsia="Times New Roman" w:cs="Arial"/>
          <w:color w:val="000000"/>
          <w:sz w:val="24"/>
          <w:szCs w:val="24"/>
          <w:lang w:val="en-GB"/>
        </w:rPr>
        <w:t xml:space="preserve"> industry w</w:t>
      </w:r>
      <w:r w:rsidR="00AE2EDE" w:rsidRPr="000C17E4">
        <w:rPr>
          <w:rFonts w:eastAsia="Times New Roman" w:cs="Arial"/>
          <w:color w:val="000000"/>
          <w:sz w:val="24"/>
          <w:szCs w:val="24"/>
          <w:lang w:val="en-GB"/>
        </w:rPr>
        <w:t xml:space="preserve">as the largest contributors to the negative growth which </w:t>
      </w:r>
      <w:r w:rsidR="00712A85" w:rsidRPr="000C17E4">
        <w:rPr>
          <w:rFonts w:eastAsia="Times New Roman" w:cs="Arial"/>
          <w:color w:val="000000"/>
          <w:sz w:val="24"/>
          <w:szCs w:val="24"/>
          <w:lang w:val="en-GB"/>
        </w:rPr>
        <w:t>contracted by 3,7% and contributed -0,5 of a percentage point to GDP growth</w:t>
      </w:r>
      <w:r w:rsidR="00AE2EDE" w:rsidRPr="000C17E4">
        <w:rPr>
          <w:rFonts w:eastAsia="Times New Roman" w:cs="Arial"/>
          <w:color w:val="000000"/>
          <w:sz w:val="24"/>
          <w:szCs w:val="24"/>
          <w:lang w:val="en-GB"/>
        </w:rPr>
        <w:t>.</w:t>
      </w:r>
      <w:r w:rsidR="00712A85" w:rsidRPr="000C17E4">
        <w:rPr>
          <w:sz w:val="24"/>
          <w:szCs w:val="24"/>
        </w:rPr>
        <w:t xml:space="preserve"> </w:t>
      </w:r>
      <w:r w:rsidR="00712A85" w:rsidRPr="000C17E4">
        <w:rPr>
          <w:rFonts w:eastAsia="Times New Roman" w:cs="Arial"/>
          <w:color w:val="000000"/>
          <w:sz w:val="24"/>
          <w:szCs w:val="24"/>
          <w:lang w:val="en-GB"/>
        </w:rPr>
        <w:t xml:space="preserve">The </w:t>
      </w:r>
      <w:r w:rsidR="00AE2EDE" w:rsidRPr="000C17E4">
        <w:rPr>
          <w:rFonts w:eastAsia="Times New Roman" w:cs="Arial"/>
          <w:color w:val="000000"/>
          <w:sz w:val="24"/>
          <w:szCs w:val="24"/>
          <w:lang w:val="en-GB"/>
        </w:rPr>
        <w:t xml:space="preserve">agriculture, forestry and fisheries </w:t>
      </w:r>
      <w:r w:rsidR="00712A85" w:rsidRPr="000C17E4">
        <w:rPr>
          <w:rFonts w:eastAsia="Times New Roman" w:cs="Arial"/>
          <w:color w:val="000000"/>
          <w:sz w:val="24"/>
          <w:szCs w:val="24"/>
          <w:lang w:val="en-GB"/>
        </w:rPr>
        <w:t>industry’s increase</w:t>
      </w:r>
      <w:r w:rsidR="00AE2EDE" w:rsidRPr="000C17E4">
        <w:rPr>
          <w:rFonts w:eastAsia="Times New Roman" w:cs="Arial"/>
          <w:color w:val="000000"/>
          <w:sz w:val="24"/>
          <w:szCs w:val="24"/>
          <w:lang w:val="en-GB"/>
        </w:rPr>
        <w:t>d with</w:t>
      </w:r>
      <w:r w:rsidR="00712A85" w:rsidRPr="000C17E4">
        <w:rPr>
          <w:rFonts w:eastAsia="Times New Roman" w:cs="Arial"/>
          <w:color w:val="000000"/>
          <w:sz w:val="24"/>
          <w:szCs w:val="24"/>
          <w:lang w:val="en-GB"/>
        </w:rPr>
        <w:t xml:space="preserve"> 22</w:t>
      </w:r>
      <w:proofErr w:type="gramStart"/>
      <w:r w:rsidR="00712A85" w:rsidRPr="000C17E4">
        <w:rPr>
          <w:rFonts w:eastAsia="Times New Roman" w:cs="Arial"/>
          <w:color w:val="000000"/>
          <w:sz w:val="24"/>
          <w:szCs w:val="24"/>
          <w:lang w:val="en-GB"/>
        </w:rPr>
        <w:t>,2</w:t>
      </w:r>
      <w:proofErr w:type="gramEnd"/>
      <w:r w:rsidR="00712A85" w:rsidRPr="000C17E4">
        <w:rPr>
          <w:rFonts w:eastAsia="Times New Roman" w:cs="Arial"/>
          <w:color w:val="000000"/>
          <w:sz w:val="24"/>
          <w:szCs w:val="24"/>
          <w:lang w:val="en-GB"/>
        </w:rPr>
        <w:t>% in the first quarter of 2017</w:t>
      </w:r>
      <w:r w:rsidR="00AE2EDE" w:rsidRPr="000C17E4">
        <w:rPr>
          <w:rFonts w:eastAsia="Times New Roman" w:cs="Arial"/>
          <w:color w:val="000000"/>
          <w:sz w:val="24"/>
          <w:szCs w:val="24"/>
          <w:lang w:val="en-GB"/>
        </w:rPr>
        <w:t>,this  was mainly as</w:t>
      </w:r>
      <w:r w:rsidR="00712A85" w:rsidRPr="000C17E4">
        <w:rPr>
          <w:rFonts w:eastAsia="Times New Roman" w:cs="Arial"/>
          <w:color w:val="000000"/>
          <w:sz w:val="24"/>
          <w:szCs w:val="24"/>
          <w:lang w:val="en-GB"/>
        </w:rPr>
        <w:t xml:space="preserve"> a result of increases in the production of field crops and horticultural products.</w:t>
      </w:r>
    </w:p>
    <w:p w:rsidR="0005504B" w:rsidRPr="000C17E4" w:rsidRDefault="0005504B" w:rsidP="00A6420E">
      <w:pPr>
        <w:spacing w:after="0" w:line="360" w:lineRule="auto"/>
        <w:jc w:val="both"/>
        <w:rPr>
          <w:rFonts w:eastAsia="Times New Roman" w:cs="Arial"/>
          <w:b/>
          <w:color w:val="000000"/>
          <w:sz w:val="24"/>
          <w:szCs w:val="24"/>
          <w:lang w:val="en-GB"/>
        </w:rPr>
      </w:pPr>
    </w:p>
    <w:p w:rsidR="00AE5E6A" w:rsidRPr="000C17E4" w:rsidRDefault="00AE5E6A" w:rsidP="00A6420E">
      <w:pPr>
        <w:spacing w:after="0" w:line="360" w:lineRule="auto"/>
        <w:jc w:val="both"/>
        <w:rPr>
          <w:rFonts w:eastAsia="Times New Roman" w:cs="Arial"/>
          <w:color w:val="000000"/>
          <w:sz w:val="24"/>
          <w:szCs w:val="24"/>
          <w:lang w:val="en-GB"/>
        </w:rPr>
      </w:pPr>
      <w:r w:rsidRPr="000C17E4">
        <w:rPr>
          <w:rFonts w:eastAsia="Times New Roman" w:cs="Arial"/>
          <w:b/>
          <w:color w:val="000000"/>
          <w:sz w:val="24"/>
          <w:szCs w:val="24"/>
          <w:lang w:val="en-GB"/>
        </w:rPr>
        <w:t>Inflation:</w:t>
      </w:r>
      <w:r w:rsidR="0074283D" w:rsidRPr="000C17E4">
        <w:rPr>
          <w:rFonts w:eastAsia="Times New Roman" w:cs="Arial"/>
          <w:b/>
          <w:color w:val="000000"/>
          <w:sz w:val="24"/>
          <w:szCs w:val="24"/>
          <w:lang w:val="en-GB"/>
        </w:rPr>
        <w:t xml:space="preserve"> </w:t>
      </w:r>
      <w:r w:rsidR="0074283D" w:rsidRPr="000C17E4">
        <w:rPr>
          <w:rFonts w:eastAsia="Times New Roman" w:cs="Arial"/>
          <w:color w:val="000000"/>
          <w:sz w:val="24"/>
          <w:szCs w:val="24"/>
          <w:lang w:val="en-GB"/>
        </w:rPr>
        <w:t>The average inflation rate rebounded to 6</w:t>
      </w:r>
      <w:proofErr w:type="gramStart"/>
      <w:r w:rsidR="007E0991">
        <w:rPr>
          <w:rFonts w:eastAsia="Times New Roman" w:cs="Arial"/>
          <w:color w:val="000000"/>
          <w:sz w:val="24"/>
          <w:szCs w:val="24"/>
          <w:lang w:val="en-GB"/>
        </w:rPr>
        <w:t>,</w:t>
      </w:r>
      <w:r w:rsidR="0074283D" w:rsidRPr="000C17E4">
        <w:rPr>
          <w:rFonts w:eastAsia="Times New Roman" w:cs="Arial"/>
          <w:color w:val="000000"/>
          <w:sz w:val="24"/>
          <w:szCs w:val="24"/>
          <w:lang w:val="en-GB"/>
        </w:rPr>
        <w:t>2</w:t>
      </w:r>
      <w:proofErr w:type="gramEnd"/>
      <w:r w:rsidR="0074283D" w:rsidRPr="000C17E4">
        <w:rPr>
          <w:rFonts w:eastAsia="Times New Roman" w:cs="Arial"/>
          <w:color w:val="000000"/>
          <w:sz w:val="24"/>
          <w:szCs w:val="24"/>
          <w:lang w:val="en-GB"/>
        </w:rPr>
        <w:t>% in the first quarter of 2017 form the 6,6% in the fourth quarter of 2016, representing a</w:t>
      </w:r>
      <w:r w:rsidR="0005504B" w:rsidRPr="000C17E4">
        <w:rPr>
          <w:rFonts w:eastAsia="Times New Roman" w:cs="Arial"/>
          <w:color w:val="000000"/>
          <w:sz w:val="24"/>
          <w:szCs w:val="24"/>
          <w:lang w:val="en-GB"/>
        </w:rPr>
        <w:t xml:space="preserve"> decrease of 0,4%</w:t>
      </w:r>
      <w:r w:rsidR="0074283D" w:rsidRPr="000C17E4">
        <w:rPr>
          <w:rFonts w:eastAsia="Times New Roman" w:cs="Arial"/>
          <w:color w:val="000000"/>
          <w:sz w:val="24"/>
          <w:szCs w:val="24"/>
          <w:lang w:val="en-GB"/>
        </w:rPr>
        <w:t xml:space="preserve">. </w:t>
      </w:r>
      <w:r w:rsidR="0005504B" w:rsidRPr="000C17E4">
        <w:rPr>
          <w:rFonts w:eastAsia="Times New Roman" w:cs="Arial"/>
          <w:color w:val="000000"/>
          <w:sz w:val="24"/>
          <w:szCs w:val="24"/>
          <w:lang w:val="en-GB"/>
        </w:rPr>
        <w:t xml:space="preserve">This means in </w:t>
      </w:r>
      <w:proofErr w:type="spellStart"/>
      <w:r w:rsidR="0005504B" w:rsidRPr="000C17E4">
        <w:rPr>
          <w:rFonts w:eastAsia="Times New Roman" w:cs="Arial"/>
          <w:color w:val="000000"/>
          <w:sz w:val="24"/>
          <w:szCs w:val="24"/>
          <w:lang w:val="en-GB"/>
        </w:rPr>
        <w:t>laymans</w:t>
      </w:r>
      <w:proofErr w:type="spellEnd"/>
      <w:r w:rsidR="0005504B" w:rsidRPr="000C17E4">
        <w:rPr>
          <w:rFonts w:eastAsia="Times New Roman" w:cs="Arial"/>
          <w:color w:val="000000"/>
          <w:sz w:val="24"/>
          <w:szCs w:val="24"/>
          <w:lang w:val="en-GB"/>
        </w:rPr>
        <w:t xml:space="preserve"> term that on average, a consumer paid 0,4% less for food in the first quarter of 2017 as compared to fourth quarter of 2016.</w:t>
      </w:r>
    </w:p>
    <w:p w:rsidR="0005504B" w:rsidRPr="000C17E4" w:rsidRDefault="0005504B" w:rsidP="00A6420E">
      <w:pPr>
        <w:spacing w:after="0" w:line="360" w:lineRule="auto"/>
        <w:jc w:val="both"/>
        <w:rPr>
          <w:rFonts w:eastAsia="Times New Roman" w:cs="Arial"/>
          <w:b/>
          <w:color w:val="000000"/>
          <w:sz w:val="24"/>
          <w:szCs w:val="24"/>
          <w:lang w:val="en-GB"/>
        </w:rPr>
      </w:pPr>
    </w:p>
    <w:p w:rsidR="00AE5E6A" w:rsidRPr="000C17E4" w:rsidRDefault="00AE5E6A" w:rsidP="00241242">
      <w:pPr>
        <w:spacing w:after="0" w:line="360" w:lineRule="auto"/>
        <w:jc w:val="both"/>
        <w:rPr>
          <w:rFonts w:eastAsia="Times New Roman" w:cs="Arial"/>
          <w:color w:val="000000"/>
          <w:sz w:val="24"/>
          <w:szCs w:val="24"/>
          <w:lang w:val="en-GB"/>
        </w:rPr>
      </w:pPr>
      <w:r w:rsidRPr="000C17E4">
        <w:rPr>
          <w:rFonts w:eastAsia="Times New Roman" w:cs="Arial"/>
          <w:b/>
          <w:color w:val="000000"/>
          <w:sz w:val="24"/>
          <w:szCs w:val="24"/>
          <w:lang w:val="en-GB"/>
        </w:rPr>
        <w:t>Employment:</w:t>
      </w:r>
      <w:r w:rsidR="00323271" w:rsidRPr="000C17E4">
        <w:rPr>
          <w:sz w:val="24"/>
          <w:szCs w:val="24"/>
        </w:rPr>
        <w:t xml:space="preserve"> </w:t>
      </w:r>
      <w:r w:rsidR="00323271" w:rsidRPr="000C17E4">
        <w:rPr>
          <w:rFonts w:eastAsia="Times New Roman" w:cs="Arial"/>
          <w:color w:val="000000"/>
          <w:sz w:val="24"/>
          <w:szCs w:val="24"/>
          <w:lang w:val="en-GB"/>
        </w:rPr>
        <w:t xml:space="preserve">The number of employed people in South </w:t>
      </w:r>
      <w:proofErr w:type="gramStart"/>
      <w:r w:rsidR="00323271" w:rsidRPr="000C17E4">
        <w:rPr>
          <w:rFonts w:eastAsia="Times New Roman" w:cs="Arial"/>
          <w:color w:val="000000"/>
          <w:sz w:val="24"/>
          <w:szCs w:val="24"/>
          <w:lang w:val="en-GB"/>
        </w:rPr>
        <w:t xml:space="preserve">Africa  </w:t>
      </w:r>
      <w:r w:rsidR="00241242" w:rsidRPr="000C17E4">
        <w:rPr>
          <w:rFonts w:eastAsia="Times New Roman" w:cs="Arial"/>
          <w:color w:val="000000"/>
          <w:sz w:val="24"/>
          <w:szCs w:val="24"/>
          <w:lang w:val="en-GB"/>
        </w:rPr>
        <w:t>increased</w:t>
      </w:r>
      <w:proofErr w:type="gramEnd"/>
      <w:r w:rsidR="00241242" w:rsidRPr="000C17E4">
        <w:rPr>
          <w:rFonts w:eastAsia="Times New Roman" w:cs="Arial"/>
          <w:color w:val="000000"/>
          <w:sz w:val="24"/>
          <w:szCs w:val="24"/>
          <w:lang w:val="en-GB"/>
        </w:rPr>
        <w:t xml:space="preserve"> by 144 000 in Quarter 1 of 2017. The increases were driven </w:t>
      </w:r>
      <w:proofErr w:type="gramStart"/>
      <w:r w:rsidR="00241242" w:rsidRPr="000C17E4">
        <w:rPr>
          <w:rFonts w:eastAsia="Times New Roman" w:cs="Arial"/>
          <w:color w:val="000000"/>
          <w:sz w:val="24"/>
          <w:szCs w:val="24"/>
          <w:lang w:val="en-GB"/>
        </w:rPr>
        <w:t xml:space="preserve">by  </w:t>
      </w:r>
      <w:r w:rsidR="001C2786">
        <w:rPr>
          <w:rFonts w:eastAsia="Times New Roman" w:cs="Arial"/>
          <w:color w:val="000000"/>
          <w:sz w:val="24"/>
          <w:szCs w:val="24"/>
          <w:lang w:val="en-GB"/>
        </w:rPr>
        <w:t>m</w:t>
      </w:r>
      <w:r w:rsidR="00241242" w:rsidRPr="000C17E4">
        <w:rPr>
          <w:rFonts w:eastAsia="Times New Roman" w:cs="Arial"/>
          <w:color w:val="000000"/>
          <w:sz w:val="24"/>
          <w:szCs w:val="24"/>
          <w:lang w:val="en-GB"/>
        </w:rPr>
        <w:t>anufacturing</w:t>
      </w:r>
      <w:proofErr w:type="gramEnd"/>
      <w:r w:rsidR="00241242" w:rsidRPr="000C17E4">
        <w:rPr>
          <w:rFonts w:eastAsia="Times New Roman" w:cs="Arial"/>
          <w:color w:val="000000"/>
          <w:sz w:val="24"/>
          <w:szCs w:val="24"/>
          <w:lang w:val="en-GB"/>
        </w:rPr>
        <w:t xml:space="preserve"> with 62 000, </w:t>
      </w:r>
      <w:r w:rsidR="001C2786">
        <w:rPr>
          <w:rFonts w:eastAsia="Times New Roman" w:cs="Arial"/>
          <w:color w:val="000000"/>
          <w:sz w:val="24"/>
          <w:szCs w:val="24"/>
          <w:lang w:val="en-GB"/>
        </w:rPr>
        <w:t>f</w:t>
      </w:r>
      <w:r w:rsidR="00241242" w:rsidRPr="000C17E4">
        <w:rPr>
          <w:rFonts w:eastAsia="Times New Roman" w:cs="Arial"/>
          <w:color w:val="000000"/>
          <w:sz w:val="24"/>
          <w:szCs w:val="24"/>
          <w:lang w:val="en-GB"/>
        </w:rPr>
        <w:t xml:space="preserve">inance and other business services by 49 000, </w:t>
      </w:r>
      <w:r w:rsidR="001C2786">
        <w:rPr>
          <w:rFonts w:eastAsia="Times New Roman" w:cs="Arial"/>
          <w:color w:val="000000"/>
          <w:sz w:val="24"/>
          <w:szCs w:val="24"/>
          <w:lang w:val="en-GB"/>
        </w:rPr>
        <w:t>m</w:t>
      </w:r>
      <w:r w:rsidR="00241242" w:rsidRPr="000C17E4">
        <w:rPr>
          <w:rFonts w:eastAsia="Times New Roman" w:cs="Arial"/>
          <w:color w:val="000000"/>
          <w:sz w:val="24"/>
          <w:szCs w:val="24"/>
          <w:lang w:val="en-GB"/>
        </w:rPr>
        <w:t xml:space="preserve">ining  and </w:t>
      </w:r>
      <w:r w:rsidR="001C2786">
        <w:rPr>
          <w:rFonts w:eastAsia="Times New Roman" w:cs="Arial"/>
          <w:color w:val="000000"/>
          <w:sz w:val="24"/>
          <w:szCs w:val="24"/>
          <w:lang w:val="en-GB"/>
        </w:rPr>
        <w:t>c</w:t>
      </w:r>
      <w:r w:rsidR="00241242" w:rsidRPr="000C17E4">
        <w:rPr>
          <w:rFonts w:eastAsia="Times New Roman" w:cs="Arial"/>
          <w:color w:val="000000"/>
          <w:sz w:val="24"/>
          <w:szCs w:val="24"/>
          <w:lang w:val="en-GB"/>
        </w:rPr>
        <w:t xml:space="preserve">onstruction </w:t>
      </w:r>
      <w:r w:rsidR="00C32F95" w:rsidRPr="000C17E4">
        <w:rPr>
          <w:rFonts w:eastAsia="Times New Roman" w:cs="Arial"/>
          <w:color w:val="000000"/>
          <w:sz w:val="24"/>
          <w:szCs w:val="24"/>
          <w:lang w:val="en-GB"/>
        </w:rPr>
        <w:t xml:space="preserve">by 26 000 and </w:t>
      </w:r>
      <w:r w:rsidR="00241242" w:rsidRPr="000C17E4">
        <w:rPr>
          <w:rFonts w:eastAsia="Times New Roman" w:cs="Arial"/>
          <w:color w:val="000000"/>
          <w:sz w:val="24"/>
          <w:szCs w:val="24"/>
          <w:lang w:val="en-GB"/>
        </w:rPr>
        <w:t>23</w:t>
      </w:r>
      <w:r w:rsidR="00C32F95" w:rsidRPr="000C17E4">
        <w:rPr>
          <w:rFonts w:eastAsia="Times New Roman" w:cs="Arial"/>
          <w:color w:val="000000"/>
          <w:sz w:val="24"/>
          <w:szCs w:val="24"/>
          <w:lang w:val="en-GB"/>
        </w:rPr>
        <w:t> </w:t>
      </w:r>
      <w:r w:rsidR="00241242" w:rsidRPr="000C17E4">
        <w:rPr>
          <w:rFonts w:eastAsia="Times New Roman" w:cs="Arial"/>
          <w:color w:val="000000"/>
          <w:sz w:val="24"/>
          <w:szCs w:val="24"/>
          <w:lang w:val="en-GB"/>
        </w:rPr>
        <w:t>000</w:t>
      </w:r>
      <w:r w:rsidR="00C32F95" w:rsidRPr="000C17E4">
        <w:rPr>
          <w:rFonts w:eastAsia="Times New Roman" w:cs="Arial"/>
          <w:color w:val="000000"/>
          <w:sz w:val="24"/>
          <w:szCs w:val="24"/>
          <w:lang w:val="en-GB"/>
        </w:rPr>
        <w:t>, respectively</w:t>
      </w:r>
      <w:r w:rsidR="00241242" w:rsidRPr="000C17E4">
        <w:rPr>
          <w:rFonts w:eastAsia="Times New Roman" w:cs="Arial"/>
          <w:color w:val="000000"/>
          <w:sz w:val="24"/>
          <w:szCs w:val="24"/>
          <w:lang w:val="en-GB"/>
        </w:rPr>
        <w:t>. The number of</w:t>
      </w:r>
      <w:r w:rsidR="00C32F95" w:rsidRPr="000C17E4">
        <w:rPr>
          <w:rFonts w:eastAsia="Times New Roman" w:cs="Arial"/>
          <w:color w:val="000000"/>
          <w:sz w:val="24"/>
          <w:szCs w:val="24"/>
          <w:lang w:val="en-GB"/>
        </w:rPr>
        <w:t xml:space="preserve"> employed persons in the agricultural sector decreased by 0</w:t>
      </w:r>
      <w:proofErr w:type="gramStart"/>
      <w:r w:rsidR="00C32F95" w:rsidRPr="000C17E4">
        <w:rPr>
          <w:rFonts w:eastAsia="Times New Roman" w:cs="Arial"/>
          <w:color w:val="000000"/>
          <w:sz w:val="24"/>
          <w:szCs w:val="24"/>
          <w:lang w:val="en-GB"/>
        </w:rPr>
        <w:t>,5</w:t>
      </w:r>
      <w:proofErr w:type="gramEnd"/>
      <w:r w:rsidR="00C32F95" w:rsidRPr="000C17E4">
        <w:rPr>
          <w:rFonts w:eastAsia="Times New Roman" w:cs="Arial"/>
          <w:color w:val="000000"/>
          <w:sz w:val="24"/>
          <w:szCs w:val="24"/>
          <w:lang w:val="en-GB"/>
        </w:rPr>
        <w:t>% from 919</w:t>
      </w:r>
      <w:r w:rsidR="00F9266D" w:rsidRPr="000C17E4">
        <w:rPr>
          <w:rFonts w:eastAsia="Times New Roman" w:cs="Arial"/>
          <w:color w:val="000000"/>
          <w:sz w:val="24"/>
          <w:szCs w:val="24"/>
          <w:lang w:val="en-GB"/>
        </w:rPr>
        <w:t> </w:t>
      </w:r>
      <w:r w:rsidR="00C32F95" w:rsidRPr="000C17E4">
        <w:rPr>
          <w:rFonts w:eastAsia="Times New Roman" w:cs="Arial"/>
          <w:color w:val="000000"/>
          <w:sz w:val="24"/>
          <w:szCs w:val="24"/>
          <w:lang w:val="en-GB"/>
        </w:rPr>
        <w:t>000</w:t>
      </w:r>
      <w:r w:rsidR="00F9266D" w:rsidRPr="000C17E4">
        <w:rPr>
          <w:rFonts w:eastAsia="Times New Roman" w:cs="Arial"/>
          <w:color w:val="000000"/>
          <w:sz w:val="24"/>
          <w:szCs w:val="24"/>
          <w:lang w:val="en-GB"/>
        </w:rPr>
        <w:t xml:space="preserve"> in the fourth quarter of 2016</w:t>
      </w:r>
      <w:r w:rsidR="00C32F95" w:rsidRPr="000C17E4">
        <w:rPr>
          <w:rFonts w:eastAsia="Times New Roman" w:cs="Arial"/>
          <w:color w:val="000000"/>
          <w:sz w:val="24"/>
          <w:szCs w:val="24"/>
          <w:lang w:val="en-GB"/>
        </w:rPr>
        <w:t xml:space="preserve"> to</w:t>
      </w:r>
      <w:r w:rsidR="00241242" w:rsidRPr="000C17E4">
        <w:rPr>
          <w:rFonts w:eastAsia="Times New Roman" w:cs="Arial"/>
          <w:color w:val="000000"/>
          <w:sz w:val="24"/>
          <w:szCs w:val="24"/>
          <w:lang w:val="en-GB"/>
        </w:rPr>
        <w:t xml:space="preserve"> </w:t>
      </w:r>
      <w:r w:rsidR="00C32F95" w:rsidRPr="000C17E4">
        <w:rPr>
          <w:rFonts w:eastAsia="Times New Roman" w:cs="Arial"/>
          <w:color w:val="000000"/>
          <w:sz w:val="24"/>
          <w:szCs w:val="24"/>
          <w:lang w:val="en-GB"/>
        </w:rPr>
        <w:t>44</w:t>
      </w:r>
      <w:r w:rsidR="00F9266D" w:rsidRPr="000C17E4">
        <w:rPr>
          <w:rFonts w:eastAsia="Times New Roman" w:cs="Arial"/>
          <w:color w:val="000000"/>
          <w:sz w:val="24"/>
          <w:szCs w:val="24"/>
          <w:lang w:val="en-GB"/>
        </w:rPr>
        <w:t> </w:t>
      </w:r>
      <w:r w:rsidR="00C32F95" w:rsidRPr="000C17E4">
        <w:rPr>
          <w:rFonts w:eastAsia="Times New Roman" w:cs="Arial"/>
          <w:color w:val="000000"/>
          <w:sz w:val="24"/>
          <w:szCs w:val="24"/>
          <w:lang w:val="en-GB"/>
        </w:rPr>
        <w:t>000</w:t>
      </w:r>
      <w:r w:rsidR="00F9266D" w:rsidRPr="000C17E4">
        <w:rPr>
          <w:rFonts w:eastAsia="Times New Roman" w:cs="Arial"/>
          <w:color w:val="000000"/>
          <w:sz w:val="24"/>
          <w:szCs w:val="24"/>
          <w:lang w:val="en-GB"/>
        </w:rPr>
        <w:t xml:space="preserve"> in the first quarter of 2017.</w:t>
      </w:r>
      <w:r w:rsidR="00323271" w:rsidRPr="000C17E4">
        <w:rPr>
          <w:rFonts w:eastAsia="Times New Roman" w:cs="Arial"/>
          <w:color w:val="000000"/>
          <w:sz w:val="24"/>
          <w:szCs w:val="24"/>
          <w:lang w:val="en-GB"/>
        </w:rPr>
        <w:t xml:space="preserve"> </w:t>
      </w:r>
    </w:p>
    <w:p w:rsidR="00D512EF" w:rsidRPr="000C17E4" w:rsidRDefault="00D512EF" w:rsidP="00A6420E">
      <w:pPr>
        <w:spacing w:after="0" w:line="360" w:lineRule="auto"/>
        <w:jc w:val="both"/>
        <w:rPr>
          <w:rFonts w:eastAsia="Times New Roman" w:cs="Arial"/>
          <w:b/>
          <w:noProof/>
          <w:color w:val="000000"/>
          <w:sz w:val="24"/>
          <w:szCs w:val="24"/>
        </w:rPr>
      </w:pPr>
    </w:p>
    <w:p w:rsidR="00AE5E6A" w:rsidRPr="000C17E4" w:rsidRDefault="00AE5E6A" w:rsidP="00A6420E">
      <w:pPr>
        <w:spacing w:after="0" w:line="360" w:lineRule="auto"/>
        <w:jc w:val="both"/>
        <w:rPr>
          <w:rFonts w:eastAsia="Times New Roman" w:cs="Arial"/>
          <w:b/>
          <w:color w:val="000000"/>
          <w:sz w:val="24"/>
          <w:szCs w:val="24"/>
          <w:lang w:val="en-GB"/>
        </w:rPr>
      </w:pPr>
      <w:r w:rsidRPr="000C17E4">
        <w:rPr>
          <w:rFonts w:eastAsia="Times New Roman" w:cs="Arial"/>
          <w:b/>
          <w:color w:val="000000"/>
          <w:sz w:val="24"/>
          <w:szCs w:val="24"/>
          <w:lang w:val="en-GB"/>
        </w:rPr>
        <w:t>The grain market review section:</w:t>
      </w:r>
      <w:r w:rsidR="00652668" w:rsidRPr="000C17E4">
        <w:rPr>
          <w:rFonts w:eastAsia="Times New Roman" w:cs="Arial"/>
          <w:color w:val="000000"/>
          <w:sz w:val="24"/>
          <w:szCs w:val="24"/>
          <w:lang w:val="en-GB"/>
        </w:rPr>
        <w:t xml:space="preserve"> It</w:t>
      </w:r>
      <w:r w:rsidR="00652668" w:rsidRPr="000C17E4">
        <w:rPr>
          <w:rFonts w:eastAsia="Times New Roman" w:cs="Arial"/>
          <w:b/>
          <w:color w:val="000000"/>
          <w:sz w:val="24"/>
          <w:szCs w:val="24"/>
          <w:lang w:val="en-GB"/>
        </w:rPr>
        <w:t xml:space="preserve"> </w:t>
      </w:r>
      <w:r w:rsidR="00652668" w:rsidRPr="000C17E4">
        <w:rPr>
          <w:rFonts w:eastAsia="Times New Roman" w:cs="Arial"/>
          <w:color w:val="000000"/>
          <w:sz w:val="24"/>
          <w:szCs w:val="24"/>
          <w:lang w:val="en-GB"/>
        </w:rPr>
        <w:t xml:space="preserve">reflects on quarterly price trends (domestic and international); supply and demand of the following major products produced in South Africa; maize, wheat, soya bean, sorghum sunflower, groundnuts and dry bean as well as the </w:t>
      </w:r>
      <w:r w:rsidR="00652668" w:rsidRPr="000C17E4">
        <w:rPr>
          <w:rFonts w:eastAsia="Times New Roman" w:cs="Arial"/>
          <w:b/>
          <w:color w:val="000000"/>
          <w:sz w:val="24"/>
          <w:szCs w:val="24"/>
          <w:lang w:val="en-GB"/>
        </w:rPr>
        <w:t>Fruit and vegetable</w:t>
      </w:r>
      <w:r w:rsidR="00652668" w:rsidRPr="000C17E4">
        <w:rPr>
          <w:rFonts w:eastAsia="Times New Roman" w:cs="Arial"/>
          <w:color w:val="000000"/>
          <w:sz w:val="24"/>
          <w:szCs w:val="24"/>
          <w:lang w:val="en-GB"/>
        </w:rPr>
        <w:t xml:space="preserve"> and </w:t>
      </w:r>
      <w:r w:rsidR="00652668" w:rsidRPr="000C17E4">
        <w:rPr>
          <w:rFonts w:eastAsia="Times New Roman" w:cs="Arial"/>
          <w:b/>
          <w:color w:val="000000"/>
          <w:sz w:val="24"/>
          <w:szCs w:val="24"/>
          <w:lang w:val="en-GB"/>
        </w:rPr>
        <w:t>Meat industry review</w:t>
      </w:r>
    </w:p>
    <w:p w:rsidR="00D512EF" w:rsidRPr="000C17E4" w:rsidRDefault="00D512EF" w:rsidP="00A6420E">
      <w:pPr>
        <w:spacing w:after="0" w:line="360" w:lineRule="auto"/>
        <w:jc w:val="both"/>
        <w:rPr>
          <w:rFonts w:eastAsia="Times New Roman" w:cs="Arial"/>
          <w:b/>
          <w:color w:val="000000"/>
          <w:sz w:val="24"/>
          <w:szCs w:val="24"/>
          <w:lang w:val="en-GB"/>
        </w:rPr>
      </w:pPr>
    </w:p>
    <w:p w:rsidR="00646C6B" w:rsidRPr="000C17E4" w:rsidRDefault="00AE5E6A" w:rsidP="00A6420E">
      <w:pPr>
        <w:spacing w:after="0" w:line="360" w:lineRule="auto"/>
        <w:jc w:val="both"/>
        <w:rPr>
          <w:rFonts w:cs="Arial"/>
          <w:b/>
          <w:sz w:val="24"/>
          <w:szCs w:val="24"/>
        </w:rPr>
      </w:pPr>
      <w:r w:rsidRPr="000C17E4">
        <w:rPr>
          <w:rFonts w:eastAsia="Times New Roman" w:cs="Arial"/>
          <w:b/>
          <w:color w:val="000000"/>
          <w:sz w:val="24"/>
          <w:szCs w:val="24"/>
          <w:lang w:val="en-GB" w:eastAsia="en-GB"/>
        </w:rPr>
        <w:t>Trade:</w:t>
      </w:r>
      <w:r w:rsidR="00D626E7" w:rsidRPr="000C17E4">
        <w:rPr>
          <w:sz w:val="24"/>
          <w:szCs w:val="24"/>
        </w:rPr>
        <w:t xml:space="preserve"> </w:t>
      </w:r>
      <w:r w:rsidR="00BD333C" w:rsidRPr="000C17E4">
        <w:rPr>
          <w:rFonts w:cs="Arial"/>
          <w:sz w:val="24"/>
          <w:szCs w:val="24"/>
        </w:rPr>
        <w:t>S</w:t>
      </w:r>
      <w:proofErr w:type="spellStart"/>
      <w:r w:rsidR="00D626E7" w:rsidRPr="000C17E4">
        <w:rPr>
          <w:rFonts w:eastAsia="Times New Roman" w:cs="Arial"/>
          <w:color w:val="000000"/>
          <w:sz w:val="24"/>
          <w:szCs w:val="24"/>
          <w:lang w:val="en-GB" w:eastAsia="en-GB"/>
        </w:rPr>
        <w:t>outh</w:t>
      </w:r>
      <w:proofErr w:type="spellEnd"/>
      <w:r w:rsidR="00D626E7" w:rsidRPr="000C17E4">
        <w:rPr>
          <w:rFonts w:eastAsia="Times New Roman" w:cs="Arial"/>
          <w:color w:val="000000"/>
          <w:sz w:val="24"/>
          <w:szCs w:val="24"/>
          <w:lang w:val="en-GB" w:eastAsia="en-GB"/>
        </w:rPr>
        <w:t xml:space="preserve"> Africa posted an 11</w:t>
      </w:r>
      <w:proofErr w:type="gramStart"/>
      <w:r w:rsidR="001C2786">
        <w:rPr>
          <w:rFonts w:eastAsia="Times New Roman" w:cs="Arial"/>
          <w:color w:val="000000"/>
          <w:sz w:val="24"/>
          <w:szCs w:val="24"/>
          <w:lang w:val="en-GB" w:eastAsia="en-GB"/>
        </w:rPr>
        <w:t>,</w:t>
      </w:r>
      <w:r w:rsidR="00D626E7" w:rsidRPr="000C17E4">
        <w:rPr>
          <w:rFonts w:eastAsia="Times New Roman" w:cs="Arial"/>
          <w:color w:val="000000"/>
          <w:sz w:val="24"/>
          <w:szCs w:val="24"/>
          <w:lang w:val="en-GB" w:eastAsia="en-GB"/>
        </w:rPr>
        <w:t>44</w:t>
      </w:r>
      <w:proofErr w:type="gramEnd"/>
      <w:r w:rsidR="00D626E7" w:rsidRPr="000C17E4">
        <w:rPr>
          <w:rFonts w:eastAsia="Times New Roman" w:cs="Arial"/>
          <w:color w:val="000000"/>
          <w:sz w:val="24"/>
          <w:szCs w:val="24"/>
          <w:lang w:val="en-GB" w:eastAsia="en-GB"/>
        </w:rPr>
        <w:t xml:space="preserve"> billion rand ($863 million) trade surplus in March</w:t>
      </w:r>
      <w:r w:rsidR="00BD333C" w:rsidRPr="000C17E4">
        <w:rPr>
          <w:rFonts w:eastAsia="Times New Roman" w:cs="Arial"/>
          <w:color w:val="000000"/>
          <w:sz w:val="24"/>
          <w:szCs w:val="24"/>
          <w:lang w:val="en-GB" w:eastAsia="en-GB"/>
        </w:rPr>
        <w:t xml:space="preserve"> 2017</w:t>
      </w:r>
      <w:r w:rsidR="00D626E7" w:rsidRPr="000C17E4">
        <w:rPr>
          <w:rFonts w:eastAsia="Times New Roman" w:cs="Arial"/>
          <w:color w:val="000000"/>
          <w:sz w:val="24"/>
          <w:szCs w:val="24"/>
          <w:lang w:val="en-GB" w:eastAsia="en-GB"/>
        </w:rPr>
        <w:t xml:space="preserve"> following a revised </w:t>
      </w:r>
      <w:r w:rsidR="001C2786">
        <w:rPr>
          <w:rFonts w:eastAsia="Times New Roman" w:cs="Arial"/>
          <w:color w:val="000000"/>
          <w:sz w:val="24"/>
          <w:szCs w:val="24"/>
          <w:lang w:val="en-GB" w:eastAsia="en-GB"/>
        </w:rPr>
        <w:t>R</w:t>
      </w:r>
      <w:r w:rsidR="00D626E7" w:rsidRPr="000C17E4">
        <w:rPr>
          <w:rFonts w:eastAsia="Times New Roman" w:cs="Arial"/>
          <w:color w:val="000000"/>
          <w:sz w:val="24"/>
          <w:szCs w:val="24"/>
          <w:lang w:val="en-GB" w:eastAsia="en-GB"/>
        </w:rPr>
        <w:t>4</w:t>
      </w:r>
      <w:r w:rsidR="001C2786">
        <w:rPr>
          <w:rFonts w:eastAsia="Times New Roman" w:cs="Arial"/>
          <w:color w:val="000000"/>
          <w:sz w:val="24"/>
          <w:szCs w:val="24"/>
          <w:lang w:val="en-GB" w:eastAsia="en-GB"/>
        </w:rPr>
        <w:t>,</w:t>
      </w:r>
      <w:r w:rsidR="00D626E7" w:rsidRPr="000C17E4">
        <w:rPr>
          <w:rFonts w:eastAsia="Times New Roman" w:cs="Arial"/>
          <w:color w:val="000000"/>
          <w:sz w:val="24"/>
          <w:szCs w:val="24"/>
          <w:lang w:val="en-GB" w:eastAsia="en-GB"/>
        </w:rPr>
        <w:t>78 billion surplus in February</w:t>
      </w:r>
      <w:r w:rsidR="00BD333C" w:rsidRPr="000C17E4">
        <w:rPr>
          <w:rFonts w:eastAsia="Times New Roman" w:cs="Arial"/>
          <w:color w:val="000000"/>
          <w:sz w:val="24"/>
          <w:szCs w:val="24"/>
          <w:lang w:val="en-GB" w:eastAsia="en-GB"/>
        </w:rPr>
        <w:t xml:space="preserve"> 2017. In the first quarter of 2017, exports of agricultural products decreased by 3%, from R29</w:t>
      </w:r>
      <w:proofErr w:type="gramStart"/>
      <w:r w:rsidR="001C2786">
        <w:rPr>
          <w:rFonts w:eastAsia="Times New Roman" w:cs="Arial"/>
          <w:color w:val="000000"/>
          <w:sz w:val="24"/>
          <w:szCs w:val="24"/>
          <w:lang w:val="en-GB" w:eastAsia="en-GB"/>
        </w:rPr>
        <w:t>,</w:t>
      </w:r>
      <w:r w:rsidR="00BD333C" w:rsidRPr="000C17E4">
        <w:rPr>
          <w:rFonts w:eastAsia="Times New Roman" w:cs="Arial"/>
          <w:color w:val="000000"/>
          <w:sz w:val="24"/>
          <w:szCs w:val="24"/>
          <w:lang w:val="en-GB" w:eastAsia="en-GB"/>
        </w:rPr>
        <w:t>12</w:t>
      </w:r>
      <w:proofErr w:type="gramEnd"/>
      <w:r w:rsidR="00BD333C" w:rsidRPr="000C17E4">
        <w:rPr>
          <w:rFonts w:eastAsia="Times New Roman" w:cs="Arial"/>
          <w:color w:val="000000"/>
          <w:sz w:val="24"/>
          <w:szCs w:val="24"/>
          <w:lang w:val="en-GB" w:eastAsia="en-GB"/>
        </w:rPr>
        <w:t xml:space="preserve"> billion in the first quarter of 2016 to R28</w:t>
      </w:r>
      <w:r w:rsidR="001C2786">
        <w:rPr>
          <w:rFonts w:eastAsia="Times New Roman" w:cs="Arial"/>
          <w:color w:val="000000"/>
          <w:sz w:val="24"/>
          <w:szCs w:val="24"/>
          <w:lang w:val="en-GB" w:eastAsia="en-GB"/>
        </w:rPr>
        <w:t>,</w:t>
      </w:r>
      <w:r w:rsidR="00BD333C" w:rsidRPr="000C17E4">
        <w:rPr>
          <w:rFonts w:eastAsia="Times New Roman" w:cs="Arial"/>
          <w:color w:val="000000"/>
          <w:sz w:val="24"/>
          <w:szCs w:val="24"/>
          <w:lang w:val="en-GB" w:eastAsia="en-GB"/>
        </w:rPr>
        <w:t>22 billion in the first quarter of 2017.</w:t>
      </w:r>
      <w:r w:rsidR="00BD333C" w:rsidRPr="000C17E4">
        <w:rPr>
          <w:sz w:val="24"/>
          <w:szCs w:val="24"/>
        </w:rPr>
        <w:t xml:space="preserve"> </w:t>
      </w:r>
      <w:r w:rsidR="00BD333C" w:rsidRPr="000C17E4">
        <w:rPr>
          <w:rFonts w:eastAsia="Times New Roman" w:cs="Arial"/>
          <w:color w:val="000000"/>
          <w:sz w:val="24"/>
          <w:szCs w:val="24"/>
          <w:lang w:eastAsia="en-GB"/>
        </w:rPr>
        <w:t>During the same period, imports of agricultural products grew by 2%, from R21</w:t>
      </w:r>
      <w:proofErr w:type="gramStart"/>
      <w:r w:rsidR="001C2786">
        <w:rPr>
          <w:rFonts w:eastAsia="Times New Roman" w:cs="Arial"/>
          <w:color w:val="000000"/>
          <w:sz w:val="24"/>
          <w:szCs w:val="24"/>
          <w:lang w:eastAsia="en-GB"/>
        </w:rPr>
        <w:t>,</w:t>
      </w:r>
      <w:r w:rsidR="00BD333C" w:rsidRPr="000C17E4">
        <w:rPr>
          <w:rFonts w:eastAsia="Times New Roman" w:cs="Arial"/>
          <w:color w:val="000000"/>
          <w:sz w:val="24"/>
          <w:szCs w:val="24"/>
          <w:lang w:eastAsia="en-GB"/>
        </w:rPr>
        <w:t>95</w:t>
      </w:r>
      <w:proofErr w:type="gramEnd"/>
      <w:r w:rsidR="00BD333C" w:rsidRPr="000C17E4">
        <w:rPr>
          <w:rFonts w:eastAsia="Times New Roman" w:cs="Arial"/>
          <w:color w:val="000000"/>
          <w:sz w:val="24"/>
          <w:szCs w:val="24"/>
          <w:lang w:eastAsia="en-GB"/>
        </w:rPr>
        <w:t xml:space="preserve"> billion in the first quarter of 2016 to R22</w:t>
      </w:r>
      <w:r w:rsidR="001C2786">
        <w:rPr>
          <w:rFonts w:eastAsia="Times New Roman" w:cs="Arial"/>
          <w:color w:val="000000"/>
          <w:sz w:val="24"/>
          <w:szCs w:val="24"/>
          <w:lang w:eastAsia="en-GB"/>
        </w:rPr>
        <w:t>,</w:t>
      </w:r>
      <w:r w:rsidR="00BD333C" w:rsidRPr="000C17E4">
        <w:rPr>
          <w:rFonts w:eastAsia="Times New Roman" w:cs="Arial"/>
          <w:color w:val="000000"/>
          <w:sz w:val="24"/>
          <w:szCs w:val="24"/>
          <w:lang w:eastAsia="en-GB"/>
        </w:rPr>
        <w:t>33 billion in the first quarter of 2017</w:t>
      </w:r>
      <w:r w:rsidR="004C66A5" w:rsidRPr="000C17E4">
        <w:rPr>
          <w:rFonts w:eastAsia="Times New Roman" w:cs="Arial"/>
          <w:color w:val="000000"/>
          <w:sz w:val="24"/>
          <w:szCs w:val="24"/>
          <w:lang w:eastAsia="en-GB"/>
        </w:rPr>
        <w:t>.</w:t>
      </w:r>
    </w:p>
    <w:p w:rsidR="00646C6B" w:rsidRPr="000C17E4" w:rsidRDefault="00646C6B" w:rsidP="00A6420E">
      <w:pPr>
        <w:spacing w:after="0" w:line="360" w:lineRule="auto"/>
        <w:jc w:val="both"/>
        <w:rPr>
          <w:rFonts w:cs="Arial"/>
          <w:b/>
          <w:sz w:val="24"/>
          <w:szCs w:val="24"/>
        </w:rPr>
      </w:pPr>
    </w:p>
    <w:p w:rsidR="00646C6B" w:rsidRPr="000C17E4" w:rsidRDefault="00646C6B" w:rsidP="00A6420E">
      <w:pPr>
        <w:spacing w:after="0" w:line="360" w:lineRule="auto"/>
        <w:jc w:val="both"/>
        <w:rPr>
          <w:rFonts w:cs="Arial"/>
          <w:b/>
          <w:sz w:val="24"/>
          <w:szCs w:val="24"/>
        </w:rPr>
      </w:pPr>
    </w:p>
    <w:p w:rsidR="00646C6B" w:rsidRPr="000C17E4" w:rsidRDefault="00646C6B" w:rsidP="00A6420E">
      <w:pPr>
        <w:spacing w:after="0" w:line="360" w:lineRule="auto"/>
        <w:jc w:val="both"/>
        <w:rPr>
          <w:rFonts w:cs="Arial"/>
          <w:b/>
          <w:sz w:val="24"/>
          <w:szCs w:val="24"/>
        </w:rPr>
      </w:pPr>
    </w:p>
    <w:p w:rsidR="00646C6B" w:rsidRPr="000C17E4" w:rsidRDefault="00646C6B" w:rsidP="00A6420E">
      <w:pPr>
        <w:spacing w:after="0" w:line="360" w:lineRule="auto"/>
        <w:jc w:val="both"/>
        <w:rPr>
          <w:rFonts w:cs="Arial"/>
          <w:b/>
          <w:sz w:val="24"/>
          <w:szCs w:val="24"/>
        </w:rPr>
      </w:pPr>
    </w:p>
    <w:p w:rsidR="00646C6B" w:rsidRPr="000C17E4" w:rsidRDefault="00646C6B" w:rsidP="00A6420E">
      <w:pPr>
        <w:spacing w:after="0" w:line="360" w:lineRule="auto"/>
        <w:jc w:val="both"/>
        <w:rPr>
          <w:rFonts w:cs="Arial"/>
          <w:b/>
          <w:sz w:val="24"/>
          <w:szCs w:val="24"/>
        </w:rPr>
      </w:pPr>
    </w:p>
    <w:p w:rsidR="00646C6B" w:rsidRPr="000C17E4" w:rsidRDefault="00646C6B" w:rsidP="00A6420E">
      <w:pPr>
        <w:spacing w:after="0" w:line="360" w:lineRule="auto"/>
        <w:jc w:val="both"/>
        <w:rPr>
          <w:rFonts w:cs="Arial"/>
          <w:b/>
          <w:sz w:val="24"/>
          <w:szCs w:val="24"/>
        </w:rPr>
      </w:pPr>
    </w:p>
    <w:p w:rsidR="00646C6B" w:rsidRPr="000C17E4" w:rsidRDefault="00646C6B" w:rsidP="00A6420E">
      <w:pPr>
        <w:spacing w:after="0" w:line="360" w:lineRule="auto"/>
        <w:jc w:val="both"/>
        <w:rPr>
          <w:rFonts w:cs="Arial"/>
          <w:b/>
          <w:sz w:val="24"/>
          <w:szCs w:val="24"/>
        </w:rPr>
      </w:pPr>
    </w:p>
    <w:p w:rsidR="00646C6B" w:rsidRPr="000C17E4" w:rsidRDefault="00646C6B" w:rsidP="00A6420E">
      <w:pPr>
        <w:spacing w:after="0" w:line="360" w:lineRule="auto"/>
        <w:jc w:val="both"/>
        <w:rPr>
          <w:rFonts w:cs="Arial"/>
          <w:b/>
          <w:sz w:val="24"/>
          <w:szCs w:val="24"/>
        </w:rPr>
      </w:pPr>
    </w:p>
    <w:p w:rsidR="00646C6B" w:rsidRPr="000C17E4" w:rsidRDefault="00646C6B" w:rsidP="00A6420E">
      <w:pPr>
        <w:spacing w:after="0" w:line="360" w:lineRule="auto"/>
        <w:jc w:val="both"/>
        <w:rPr>
          <w:rFonts w:cs="Arial"/>
          <w:b/>
          <w:sz w:val="24"/>
          <w:szCs w:val="24"/>
        </w:rPr>
      </w:pPr>
    </w:p>
    <w:p w:rsidR="00646C6B" w:rsidRPr="000C17E4" w:rsidRDefault="00646C6B" w:rsidP="00A6420E">
      <w:pPr>
        <w:spacing w:after="0" w:line="360" w:lineRule="auto"/>
        <w:jc w:val="both"/>
        <w:rPr>
          <w:rFonts w:cs="Arial"/>
          <w:b/>
          <w:sz w:val="24"/>
          <w:szCs w:val="24"/>
        </w:rPr>
      </w:pPr>
    </w:p>
    <w:p w:rsidR="00646C6B" w:rsidRPr="000C17E4" w:rsidRDefault="00646C6B" w:rsidP="00A6420E">
      <w:pPr>
        <w:spacing w:after="0" w:line="360" w:lineRule="auto"/>
        <w:jc w:val="both"/>
        <w:rPr>
          <w:rFonts w:cs="Arial"/>
          <w:b/>
          <w:sz w:val="24"/>
          <w:szCs w:val="24"/>
        </w:rPr>
      </w:pPr>
    </w:p>
    <w:p w:rsidR="00646C6B" w:rsidRDefault="00646C6B" w:rsidP="00A6420E">
      <w:pPr>
        <w:spacing w:after="0" w:line="360" w:lineRule="auto"/>
        <w:jc w:val="both"/>
        <w:rPr>
          <w:rFonts w:cs="Arial"/>
          <w:b/>
          <w:sz w:val="24"/>
          <w:szCs w:val="24"/>
        </w:rPr>
      </w:pPr>
    </w:p>
    <w:p w:rsidR="006329E6" w:rsidRDefault="006329E6" w:rsidP="00A6420E">
      <w:pPr>
        <w:spacing w:after="0" w:line="360" w:lineRule="auto"/>
        <w:jc w:val="both"/>
        <w:rPr>
          <w:rFonts w:cs="Arial"/>
          <w:b/>
          <w:sz w:val="24"/>
          <w:szCs w:val="24"/>
        </w:rPr>
      </w:pPr>
    </w:p>
    <w:p w:rsidR="006329E6" w:rsidRDefault="006329E6" w:rsidP="00A6420E">
      <w:pPr>
        <w:spacing w:after="0" w:line="360" w:lineRule="auto"/>
        <w:jc w:val="both"/>
        <w:rPr>
          <w:rFonts w:cs="Arial"/>
          <w:b/>
          <w:sz w:val="24"/>
          <w:szCs w:val="24"/>
        </w:rPr>
      </w:pPr>
    </w:p>
    <w:p w:rsidR="006329E6" w:rsidRPr="000C17E4" w:rsidRDefault="006329E6" w:rsidP="00A6420E">
      <w:pPr>
        <w:spacing w:after="0" w:line="360" w:lineRule="auto"/>
        <w:jc w:val="both"/>
        <w:rPr>
          <w:rFonts w:cs="Arial"/>
          <w:b/>
          <w:sz w:val="24"/>
          <w:szCs w:val="24"/>
        </w:rPr>
      </w:pPr>
    </w:p>
    <w:p w:rsidR="00096EA6" w:rsidRDefault="00096EA6" w:rsidP="000C17E4">
      <w:pPr>
        <w:spacing w:after="0" w:line="360" w:lineRule="auto"/>
        <w:jc w:val="both"/>
        <w:rPr>
          <w:rFonts w:cs="Arial"/>
          <w:b/>
        </w:rPr>
      </w:pP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1" locked="0" layoutInCell="1" allowOverlap="0" wp14:anchorId="77CF05AC" wp14:editId="5C1985ED">
                <wp:simplePos x="0" y="0"/>
                <wp:positionH relativeFrom="column">
                  <wp:posOffset>-56319</wp:posOffset>
                </wp:positionH>
                <wp:positionV relativeFrom="paragraph">
                  <wp:posOffset>232996</wp:posOffset>
                </wp:positionV>
                <wp:extent cx="5701030" cy="438150"/>
                <wp:effectExtent l="0" t="0" r="13970" b="571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1030" cy="438150"/>
                        </a:xfrm>
                        <a:prstGeom prst="rect">
                          <a:avLst/>
                        </a:prstGeom>
                        <a:solidFill>
                          <a:srgbClr val="EAF1DD"/>
                        </a:solidFill>
                        <a:ln w="9525">
                          <a:solidFill>
                            <a:srgbClr val="94B64E"/>
                          </a:solidFill>
                          <a:miter lim="800000"/>
                          <a:headEnd/>
                          <a:tailEnd/>
                        </a:ln>
                        <a:effectLst>
                          <a:outerShdw dist="20000" dir="5400000" rotWithShape="0">
                            <a:srgbClr val="000000">
                              <a:alpha val="37999"/>
                            </a:srgbClr>
                          </a:outerShdw>
                        </a:effectLst>
                      </wps:spPr>
                      <wps:txbx>
                        <w:txbxContent>
                          <w:p w:rsidR="002E6059" w:rsidRPr="008823B3" w:rsidRDefault="002E6059" w:rsidP="00952883">
                            <w:pPr>
                              <w:pStyle w:val="Heading1"/>
                            </w:pPr>
                            <w:bookmarkStart w:id="20" w:name="_Toc489345733"/>
                            <w:bookmarkStart w:id="21" w:name="_Toc489345938"/>
                            <w:bookmarkStart w:id="22" w:name="_Toc489537695"/>
                            <w:bookmarkStart w:id="23" w:name="_Toc489538103"/>
                            <w:bookmarkStart w:id="24" w:name="_Toc489539679"/>
                            <w:bookmarkStart w:id="25" w:name="_Toc489539775"/>
                            <w:bookmarkStart w:id="26" w:name="_Toc489539877"/>
                            <w:bookmarkStart w:id="27" w:name="_Toc489539979"/>
                            <w:bookmarkStart w:id="28" w:name="_Toc489540075"/>
                            <w:r w:rsidRPr="008823B3">
                              <w:t>1</w:t>
                            </w:r>
                            <w:r>
                              <w:t xml:space="preserve">  </w:t>
                            </w:r>
                            <w:r w:rsidRPr="008823B3">
                              <w:t xml:space="preserve"> GLOBAL OVERVIEW OF THE AGRICULTURE, FORESTRY AND FISHERIES ECONOMY</w:t>
                            </w:r>
                            <w:bookmarkEnd w:id="20"/>
                            <w:bookmarkEnd w:id="21"/>
                            <w:bookmarkEnd w:id="22"/>
                            <w:bookmarkEnd w:id="23"/>
                            <w:bookmarkEnd w:id="24"/>
                            <w:bookmarkEnd w:id="25"/>
                            <w:bookmarkEnd w:id="26"/>
                            <w:bookmarkEnd w:id="27"/>
                            <w:bookmarkEnd w:id="28"/>
                          </w:p>
                          <w:p w:rsidR="002E6059" w:rsidRDefault="002E6059" w:rsidP="00096EA6"/>
                          <w:p w:rsidR="002E6059" w:rsidRDefault="002E6059" w:rsidP="00096EA6"/>
                          <w:p w:rsidR="002E6059" w:rsidRDefault="002E6059" w:rsidP="00096EA6"/>
                          <w:p w:rsidR="002E6059" w:rsidRPr="00D25492" w:rsidRDefault="002E6059" w:rsidP="00096EA6"/>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0" style="position:absolute;left:0;text-align:left;margin-left:-4.45pt;margin-top:18.35pt;width:448.9pt;height: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" o:allowoverlap="f" fillcolor="#eaf1dd" strokecolor="#94b64e">
                <v:shadow on="t" color="black" opacity="24903f" origin=",.5" offset="0,.55556mm"/>
                <v:textbox>
                  <w:txbxContent>
                    <w:p w:rsidR="002E6059" w:rsidRPr="008823B3" w:rsidRDefault="002E6059" w:rsidP="00952883">
                      <w:pPr>
                        <w:pStyle w:val="Heading1"/>
                      </w:pPr>
                      <w:bookmarkStart w:id="29" w:name="_Toc489345733"/>
                      <w:bookmarkStart w:id="30" w:name="_Toc489345938"/>
                      <w:bookmarkStart w:id="31" w:name="_Toc489537695"/>
                      <w:bookmarkStart w:id="32" w:name="_Toc489538103"/>
                      <w:bookmarkStart w:id="33" w:name="_Toc489539679"/>
                      <w:bookmarkStart w:id="34" w:name="_Toc489539775"/>
                      <w:bookmarkStart w:id="35" w:name="_Toc489539877"/>
                      <w:bookmarkStart w:id="36" w:name="_Toc489539979"/>
                      <w:bookmarkStart w:id="37" w:name="_Toc489540075"/>
                      <w:r w:rsidRPr="008823B3">
                        <w:t>1</w:t>
                      </w:r>
                      <w:r>
                        <w:t xml:space="preserve">  </w:t>
                      </w:r>
                      <w:r w:rsidRPr="008823B3">
                        <w:t xml:space="preserve"> GLOBAL OVERVIEW OF THE AGRICULTURE, FORESTRY AND FISHERIES ECONOMY</w:t>
                      </w:r>
                      <w:bookmarkEnd w:id="29"/>
                      <w:bookmarkEnd w:id="30"/>
                      <w:bookmarkEnd w:id="31"/>
                      <w:bookmarkEnd w:id="32"/>
                      <w:bookmarkEnd w:id="33"/>
                      <w:bookmarkEnd w:id="34"/>
                      <w:bookmarkEnd w:id="35"/>
                      <w:bookmarkEnd w:id="36"/>
                      <w:bookmarkEnd w:id="37"/>
                    </w:p>
                    <w:p w:rsidR="002E6059" w:rsidRDefault="002E6059" w:rsidP="00096EA6"/>
                    <w:p w:rsidR="002E6059" w:rsidRDefault="002E6059" w:rsidP="00096EA6"/>
                    <w:p w:rsidR="002E6059" w:rsidRDefault="002E6059" w:rsidP="00096EA6"/>
                    <w:p w:rsidR="002E6059" w:rsidRPr="00D25492" w:rsidRDefault="002E6059" w:rsidP="00096EA6"/>
                  </w:txbxContent>
                </v:textbox>
              </v:rect>
            </w:pict>
          </mc:Fallback>
        </mc:AlternateContent>
      </w:r>
    </w:p>
    <w:p w:rsidR="00646C6B" w:rsidRDefault="00646C6B" w:rsidP="00646C6B">
      <w:pPr>
        <w:pStyle w:val="ListParagraph"/>
        <w:spacing w:after="0" w:line="360" w:lineRule="auto"/>
        <w:jc w:val="both"/>
        <w:rPr>
          <w:rFonts w:cs="Arial"/>
          <w:b/>
        </w:rPr>
      </w:pPr>
    </w:p>
    <w:p w:rsidR="001E59A4" w:rsidRDefault="001E59A4" w:rsidP="001E59A4">
      <w:pPr>
        <w:pStyle w:val="Heading2"/>
        <w:spacing w:line="360" w:lineRule="auto"/>
        <w:ind w:left="360"/>
        <w:rPr>
          <w:rFonts w:cs="Arial"/>
          <w:szCs w:val="24"/>
        </w:rPr>
      </w:pPr>
      <w:bookmarkStart w:id="38" w:name="_Toc489345734"/>
      <w:bookmarkStart w:id="39" w:name="_Toc489345939"/>
      <w:bookmarkStart w:id="40" w:name="_Toc489537696"/>
    </w:p>
    <w:p w:rsidR="00463212" w:rsidRPr="002D3BFD" w:rsidRDefault="00463212" w:rsidP="00D512EF">
      <w:pPr>
        <w:pStyle w:val="Heading2"/>
        <w:numPr>
          <w:ilvl w:val="1"/>
          <w:numId w:val="12"/>
        </w:numPr>
        <w:spacing w:line="360" w:lineRule="auto"/>
        <w:rPr>
          <w:rFonts w:cs="Arial"/>
          <w:szCs w:val="24"/>
        </w:rPr>
      </w:pPr>
      <w:r w:rsidRPr="002D3BFD">
        <w:rPr>
          <w:rFonts w:cs="Arial"/>
          <w:szCs w:val="24"/>
        </w:rPr>
        <w:t>Global Real GDP Growth Rates</w:t>
      </w:r>
      <w:bookmarkEnd w:id="38"/>
      <w:bookmarkEnd w:id="39"/>
      <w:bookmarkEnd w:id="40"/>
    </w:p>
    <w:p w:rsidR="00463212" w:rsidRPr="002D3BFD" w:rsidRDefault="000611BA" w:rsidP="00D512EF">
      <w:pPr>
        <w:autoSpaceDE w:val="0"/>
        <w:autoSpaceDN w:val="0"/>
        <w:adjustRightInd w:val="0"/>
        <w:spacing w:after="0" w:line="360" w:lineRule="auto"/>
        <w:jc w:val="both"/>
        <w:rPr>
          <w:rFonts w:cs="Arial"/>
          <w:sz w:val="24"/>
          <w:szCs w:val="24"/>
        </w:rPr>
      </w:pPr>
      <w:r w:rsidRPr="002D3BFD">
        <w:rPr>
          <w:rFonts w:cs="Arial"/>
          <w:sz w:val="24"/>
          <w:szCs w:val="24"/>
        </w:rPr>
        <w:t>According to the Focus</w:t>
      </w:r>
      <w:r w:rsidR="007F347F" w:rsidRPr="002D3BFD">
        <w:rPr>
          <w:rFonts w:cs="Arial"/>
          <w:sz w:val="24"/>
          <w:szCs w:val="24"/>
        </w:rPr>
        <w:t xml:space="preserve"> </w:t>
      </w:r>
      <w:r w:rsidRPr="002D3BFD">
        <w:rPr>
          <w:rFonts w:cs="Arial"/>
          <w:sz w:val="24"/>
          <w:szCs w:val="24"/>
        </w:rPr>
        <w:t xml:space="preserve">Economics report, the </w:t>
      </w:r>
      <w:r w:rsidR="0086348A" w:rsidRPr="002D3BFD">
        <w:rPr>
          <w:rFonts w:cs="Arial"/>
          <w:sz w:val="24"/>
          <w:szCs w:val="24"/>
        </w:rPr>
        <w:t xml:space="preserve">Global economic activity firmed up at the outset of the year, </w:t>
      </w:r>
      <w:r w:rsidR="004D0486" w:rsidRPr="002D3BFD">
        <w:rPr>
          <w:rFonts w:cs="Arial"/>
          <w:sz w:val="24"/>
          <w:szCs w:val="24"/>
        </w:rPr>
        <w:t>as per</w:t>
      </w:r>
      <w:r w:rsidR="0086348A" w:rsidRPr="002D3BFD">
        <w:rPr>
          <w:rFonts w:cs="Arial"/>
          <w:sz w:val="24"/>
          <w:szCs w:val="24"/>
        </w:rPr>
        <w:t xml:space="preserve"> comprehensive data for Q1. Global GDP rose </w:t>
      </w:r>
      <w:r w:rsidR="004D0486" w:rsidRPr="002D3BFD">
        <w:rPr>
          <w:rFonts w:cs="Arial"/>
          <w:sz w:val="24"/>
          <w:szCs w:val="24"/>
        </w:rPr>
        <w:t xml:space="preserve">to </w:t>
      </w:r>
      <w:r w:rsidR="0086348A" w:rsidRPr="002D3BFD">
        <w:rPr>
          <w:rFonts w:cs="Arial"/>
          <w:sz w:val="24"/>
          <w:szCs w:val="24"/>
        </w:rPr>
        <w:t>2</w:t>
      </w:r>
      <w:proofErr w:type="gramStart"/>
      <w:r w:rsidR="001C2786">
        <w:rPr>
          <w:rFonts w:cs="Arial"/>
          <w:sz w:val="24"/>
          <w:szCs w:val="24"/>
        </w:rPr>
        <w:t>,</w:t>
      </w:r>
      <w:r w:rsidR="0086348A" w:rsidRPr="002D3BFD">
        <w:rPr>
          <w:rFonts w:cs="Arial"/>
          <w:sz w:val="24"/>
          <w:szCs w:val="24"/>
        </w:rPr>
        <w:t>9</w:t>
      </w:r>
      <w:proofErr w:type="gramEnd"/>
      <w:r w:rsidR="0086348A" w:rsidRPr="002D3BFD">
        <w:rPr>
          <w:rFonts w:cs="Arial"/>
          <w:sz w:val="24"/>
          <w:szCs w:val="24"/>
        </w:rPr>
        <w:t>% annually (Q4 2016 increased by 2</w:t>
      </w:r>
      <w:r w:rsidR="001C2786">
        <w:rPr>
          <w:rFonts w:cs="Arial"/>
          <w:sz w:val="24"/>
          <w:szCs w:val="24"/>
        </w:rPr>
        <w:t>,</w:t>
      </w:r>
      <w:r w:rsidR="0086348A" w:rsidRPr="002D3BFD">
        <w:rPr>
          <w:rFonts w:cs="Arial"/>
          <w:sz w:val="24"/>
          <w:szCs w:val="24"/>
        </w:rPr>
        <w:t>8% year-on-year), which was a notch above the 2</w:t>
      </w:r>
      <w:r w:rsidR="001C2786">
        <w:rPr>
          <w:rFonts w:cs="Arial"/>
          <w:sz w:val="24"/>
          <w:szCs w:val="24"/>
        </w:rPr>
        <w:t>,</w:t>
      </w:r>
      <w:r w:rsidR="0086348A" w:rsidRPr="002D3BFD">
        <w:rPr>
          <w:rFonts w:cs="Arial"/>
          <w:sz w:val="24"/>
          <w:szCs w:val="24"/>
        </w:rPr>
        <w:t xml:space="preserve">8% expansion that </w:t>
      </w:r>
      <w:hyperlink r:id="rId15" w:tgtFrame="_blank" w:history="1">
        <w:r w:rsidR="0086348A" w:rsidRPr="002D3BFD">
          <w:rPr>
            <w:rStyle w:val="Hyperlink"/>
            <w:rFonts w:cs="Arial"/>
            <w:color w:val="auto"/>
            <w:sz w:val="24"/>
            <w:szCs w:val="24"/>
            <w:u w:val="none"/>
          </w:rPr>
          <w:t xml:space="preserve"> a panel of analysts had projected</w:t>
        </w:r>
      </w:hyperlink>
      <w:r w:rsidR="0086348A" w:rsidRPr="002D3BFD">
        <w:rPr>
          <w:rFonts w:cs="Arial"/>
          <w:sz w:val="24"/>
          <w:szCs w:val="24"/>
        </w:rPr>
        <w:t xml:space="preserve">. On top of the acceleration in </w:t>
      </w:r>
      <w:hyperlink r:id="rId16" w:tgtFrame="_blank" w:history="1">
        <w:r w:rsidR="0086348A" w:rsidRPr="002D3BFD">
          <w:rPr>
            <w:rStyle w:val="Hyperlink"/>
            <w:rFonts w:cs="Arial"/>
            <w:color w:val="auto"/>
            <w:sz w:val="24"/>
            <w:szCs w:val="24"/>
            <w:u w:val="none"/>
          </w:rPr>
          <w:t>China</w:t>
        </w:r>
      </w:hyperlink>
      <w:r w:rsidR="0086348A" w:rsidRPr="002D3BFD">
        <w:rPr>
          <w:rFonts w:cs="Arial"/>
          <w:sz w:val="24"/>
          <w:szCs w:val="24"/>
        </w:rPr>
        <w:t xml:space="preserve"> reported last month, growth rate in the </w:t>
      </w:r>
      <w:hyperlink r:id="rId17" w:tgtFrame="_blank" w:history="1">
        <w:r w:rsidR="0086348A" w:rsidRPr="002D3BFD">
          <w:rPr>
            <w:rStyle w:val="Hyperlink"/>
            <w:rFonts w:cs="Arial"/>
            <w:color w:val="auto"/>
            <w:sz w:val="24"/>
            <w:szCs w:val="24"/>
            <w:u w:val="none"/>
          </w:rPr>
          <w:t>United States</w:t>
        </w:r>
      </w:hyperlink>
      <w:r w:rsidR="0086348A" w:rsidRPr="002D3BFD">
        <w:rPr>
          <w:rFonts w:cs="Arial"/>
          <w:sz w:val="24"/>
          <w:szCs w:val="24"/>
        </w:rPr>
        <w:t xml:space="preserve"> was revised upward on stronger private consumption and investment. The economic story remained largely intact in the Euro area, with GDP benefiting from a declining unemployment rate and a robust external sector. In </w:t>
      </w:r>
      <w:hyperlink r:id="rId18" w:tgtFrame="_blank" w:history="1">
        <w:r w:rsidR="0086348A" w:rsidRPr="002D3BFD">
          <w:rPr>
            <w:rStyle w:val="Hyperlink"/>
            <w:rFonts w:cs="Arial"/>
            <w:color w:val="auto"/>
            <w:sz w:val="24"/>
            <w:szCs w:val="24"/>
            <w:u w:val="none"/>
          </w:rPr>
          <w:t>Japan</w:t>
        </w:r>
      </w:hyperlink>
      <w:r w:rsidR="0086348A" w:rsidRPr="002D3BFD">
        <w:rPr>
          <w:rFonts w:cs="Arial"/>
          <w:sz w:val="24"/>
          <w:szCs w:val="24"/>
        </w:rPr>
        <w:t xml:space="preserve">, a competitive yen and healthy investment buttressed economic growth. On the downside, economic dynamics in the </w:t>
      </w:r>
      <w:hyperlink r:id="rId19" w:tgtFrame="_blank" w:history="1">
        <w:r w:rsidR="0086348A" w:rsidRPr="002D3BFD">
          <w:rPr>
            <w:rStyle w:val="Hyperlink"/>
            <w:rFonts w:cs="Arial"/>
            <w:color w:val="auto"/>
            <w:sz w:val="24"/>
            <w:szCs w:val="24"/>
            <w:u w:val="none"/>
          </w:rPr>
          <w:t>United Kingdom</w:t>
        </w:r>
      </w:hyperlink>
      <w:r w:rsidR="0086348A" w:rsidRPr="002D3BFD">
        <w:rPr>
          <w:rFonts w:cs="Arial"/>
          <w:sz w:val="24"/>
          <w:szCs w:val="24"/>
        </w:rPr>
        <w:t xml:space="preserve"> started to feel the pinch of high inflation and subdued wage growth. </w:t>
      </w:r>
      <w:r w:rsidR="00463212" w:rsidRPr="002D3BFD">
        <w:rPr>
          <w:rFonts w:cs="Arial"/>
          <w:sz w:val="24"/>
          <w:szCs w:val="24"/>
        </w:rPr>
        <w:t>Quarterly</w:t>
      </w:r>
      <w:r w:rsidR="00F1392B" w:rsidRPr="002D3BFD">
        <w:rPr>
          <w:rFonts w:cs="Arial"/>
          <w:sz w:val="24"/>
          <w:szCs w:val="24"/>
        </w:rPr>
        <w:t xml:space="preserve"> Real GDP growth Rates, 2017 (Q1</w:t>
      </w:r>
      <w:r w:rsidR="00463212" w:rsidRPr="002D3BFD">
        <w:rPr>
          <w:rFonts w:cs="Arial"/>
          <w:sz w:val="24"/>
          <w:szCs w:val="24"/>
        </w:rPr>
        <w:t xml:space="preserve">) in the advanced economies of the following countries: </w:t>
      </w:r>
      <w:r w:rsidR="005D2303" w:rsidRPr="002D3BFD">
        <w:rPr>
          <w:rFonts w:cs="Arial"/>
          <w:sz w:val="24"/>
          <w:szCs w:val="24"/>
        </w:rPr>
        <w:t xml:space="preserve">Canada, </w:t>
      </w:r>
      <w:r w:rsidR="00463212" w:rsidRPr="002D3BFD">
        <w:rPr>
          <w:rFonts w:cs="Arial"/>
          <w:sz w:val="24"/>
          <w:szCs w:val="24"/>
        </w:rPr>
        <w:t xml:space="preserve">France, Germany, Italy, </w:t>
      </w:r>
      <w:r w:rsidR="005D2303" w:rsidRPr="002D3BFD">
        <w:rPr>
          <w:rFonts w:cs="Arial"/>
          <w:sz w:val="24"/>
          <w:szCs w:val="24"/>
        </w:rPr>
        <w:t>United Kingdom and United States decreased by 0</w:t>
      </w:r>
      <w:r w:rsidR="006B5A99">
        <w:rPr>
          <w:rFonts w:cs="Arial"/>
          <w:sz w:val="24"/>
          <w:szCs w:val="24"/>
        </w:rPr>
        <w:t>,</w:t>
      </w:r>
      <w:r w:rsidR="005D2303" w:rsidRPr="002D3BFD">
        <w:rPr>
          <w:rFonts w:cs="Arial"/>
          <w:sz w:val="24"/>
          <w:szCs w:val="24"/>
        </w:rPr>
        <w:t>9%, 1</w:t>
      </w:r>
      <w:r w:rsidR="006B5A99">
        <w:rPr>
          <w:rFonts w:cs="Arial"/>
          <w:sz w:val="24"/>
          <w:szCs w:val="24"/>
        </w:rPr>
        <w:t>,</w:t>
      </w:r>
      <w:r w:rsidR="005D2303" w:rsidRPr="002D3BFD">
        <w:rPr>
          <w:rFonts w:cs="Arial"/>
          <w:sz w:val="24"/>
          <w:szCs w:val="24"/>
        </w:rPr>
        <w:t>3%, 0</w:t>
      </w:r>
      <w:r w:rsidR="006B5A99">
        <w:rPr>
          <w:rFonts w:cs="Arial"/>
          <w:sz w:val="24"/>
          <w:szCs w:val="24"/>
        </w:rPr>
        <w:t>,</w:t>
      </w:r>
      <w:r w:rsidR="005D2303" w:rsidRPr="002D3BFD">
        <w:rPr>
          <w:rFonts w:cs="Arial"/>
          <w:sz w:val="24"/>
          <w:szCs w:val="24"/>
        </w:rPr>
        <w:t>6%, 0</w:t>
      </w:r>
      <w:r w:rsidR="006B5A99">
        <w:rPr>
          <w:rFonts w:cs="Arial"/>
          <w:sz w:val="24"/>
          <w:szCs w:val="24"/>
        </w:rPr>
        <w:t>,</w:t>
      </w:r>
      <w:r w:rsidR="005D2303" w:rsidRPr="002D3BFD">
        <w:rPr>
          <w:rFonts w:cs="Arial"/>
          <w:sz w:val="24"/>
          <w:szCs w:val="24"/>
        </w:rPr>
        <w:t>4%, 0</w:t>
      </w:r>
      <w:r w:rsidR="006B5A99">
        <w:rPr>
          <w:rFonts w:cs="Arial"/>
          <w:sz w:val="24"/>
          <w:szCs w:val="24"/>
        </w:rPr>
        <w:t>,</w:t>
      </w:r>
      <w:r w:rsidR="005D2303" w:rsidRPr="002D3BFD">
        <w:rPr>
          <w:rFonts w:cs="Arial"/>
          <w:sz w:val="24"/>
          <w:szCs w:val="24"/>
        </w:rPr>
        <w:t>2</w:t>
      </w:r>
      <w:r w:rsidR="004B6D7F" w:rsidRPr="002D3BFD">
        <w:rPr>
          <w:rFonts w:cs="Arial"/>
          <w:sz w:val="24"/>
          <w:szCs w:val="24"/>
        </w:rPr>
        <w:t xml:space="preserve">% </w:t>
      </w:r>
      <w:r w:rsidR="005D2303" w:rsidRPr="002D3BFD">
        <w:rPr>
          <w:rFonts w:cs="Arial"/>
          <w:sz w:val="24"/>
          <w:szCs w:val="24"/>
        </w:rPr>
        <w:t>and 0</w:t>
      </w:r>
      <w:r w:rsidR="006B5A99">
        <w:rPr>
          <w:rFonts w:cs="Arial"/>
          <w:sz w:val="24"/>
          <w:szCs w:val="24"/>
        </w:rPr>
        <w:t>,</w:t>
      </w:r>
      <w:r w:rsidR="005D2303" w:rsidRPr="002D3BFD">
        <w:rPr>
          <w:rFonts w:cs="Arial"/>
          <w:sz w:val="24"/>
          <w:szCs w:val="24"/>
        </w:rPr>
        <w:t xml:space="preserve">3% </w:t>
      </w:r>
      <w:r w:rsidR="004B6D7F" w:rsidRPr="002D3BFD">
        <w:rPr>
          <w:rFonts w:cs="Arial"/>
          <w:sz w:val="24"/>
          <w:szCs w:val="24"/>
        </w:rPr>
        <w:t xml:space="preserve">respectively, meanwhile </w:t>
      </w:r>
      <w:r w:rsidR="003D5B9A" w:rsidRPr="002D3BFD">
        <w:rPr>
          <w:rFonts w:cs="Arial"/>
          <w:sz w:val="24"/>
          <w:szCs w:val="24"/>
        </w:rPr>
        <w:t xml:space="preserve">Japan </w:t>
      </w:r>
      <w:r w:rsidR="004B6D7F" w:rsidRPr="002D3BFD">
        <w:rPr>
          <w:rFonts w:cs="Arial"/>
          <w:sz w:val="24"/>
          <w:szCs w:val="24"/>
        </w:rPr>
        <w:t>incre</w:t>
      </w:r>
      <w:r w:rsidR="00F1392B" w:rsidRPr="002D3BFD">
        <w:rPr>
          <w:rFonts w:cs="Arial"/>
          <w:sz w:val="24"/>
          <w:szCs w:val="24"/>
        </w:rPr>
        <w:t xml:space="preserve">ased by </w:t>
      </w:r>
      <w:r w:rsidR="005D2303" w:rsidRPr="002D3BFD">
        <w:rPr>
          <w:rFonts w:cs="Arial"/>
          <w:sz w:val="24"/>
          <w:szCs w:val="24"/>
        </w:rPr>
        <w:t>0</w:t>
      </w:r>
      <w:r w:rsidR="006B5A99">
        <w:rPr>
          <w:rFonts w:cs="Arial"/>
          <w:sz w:val="24"/>
          <w:szCs w:val="24"/>
        </w:rPr>
        <w:t>,</w:t>
      </w:r>
      <w:r w:rsidR="005D2303" w:rsidRPr="002D3BFD">
        <w:rPr>
          <w:rFonts w:cs="Arial"/>
          <w:sz w:val="24"/>
          <w:szCs w:val="24"/>
        </w:rPr>
        <w:t>3</w:t>
      </w:r>
      <w:r w:rsidR="00F1392B" w:rsidRPr="002D3BFD">
        <w:rPr>
          <w:rFonts w:cs="Arial"/>
          <w:sz w:val="24"/>
          <w:szCs w:val="24"/>
        </w:rPr>
        <w:t>% as compared to 2016 (Q1</w:t>
      </w:r>
      <w:r w:rsidR="00463212" w:rsidRPr="002D3BFD">
        <w:rPr>
          <w:rFonts w:cs="Arial"/>
          <w:sz w:val="24"/>
          <w:szCs w:val="24"/>
        </w:rPr>
        <w:t xml:space="preserve">). </w:t>
      </w:r>
      <w:r w:rsidR="005D2303" w:rsidRPr="002D3BFD">
        <w:rPr>
          <w:rFonts w:cs="Arial"/>
          <w:sz w:val="24"/>
          <w:szCs w:val="24"/>
        </w:rPr>
        <w:t>S</w:t>
      </w:r>
      <w:r w:rsidR="008D203C" w:rsidRPr="002D3BFD">
        <w:rPr>
          <w:rFonts w:cs="Arial"/>
          <w:sz w:val="24"/>
          <w:szCs w:val="24"/>
        </w:rPr>
        <w:t xml:space="preserve">ee </w:t>
      </w:r>
      <w:r w:rsidR="006B5A99">
        <w:rPr>
          <w:rFonts w:cs="Arial"/>
          <w:sz w:val="24"/>
          <w:szCs w:val="24"/>
        </w:rPr>
        <w:t>F</w:t>
      </w:r>
      <w:r w:rsidR="008D203C" w:rsidRPr="002D3BFD">
        <w:rPr>
          <w:rFonts w:cs="Arial"/>
          <w:sz w:val="24"/>
          <w:szCs w:val="24"/>
        </w:rPr>
        <w:t>igure 1</w:t>
      </w:r>
      <w:r w:rsidR="00FF110F" w:rsidRPr="002D3BFD">
        <w:rPr>
          <w:rFonts w:cs="Arial"/>
          <w:sz w:val="24"/>
          <w:szCs w:val="24"/>
        </w:rPr>
        <w:t xml:space="preserve"> below</w:t>
      </w:r>
      <w:r w:rsidR="008D203C" w:rsidRPr="002D3BFD">
        <w:rPr>
          <w:rFonts w:cs="Arial"/>
          <w:sz w:val="24"/>
          <w:szCs w:val="24"/>
        </w:rPr>
        <w:t>.</w:t>
      </w:r>
    </w:p>
    <w:p w:rsidR="005760B4" w:rsidRPr="000F11C8" w:rsidRDefault="005760B4" w:rsidP="00A6420E">
      <w:pPr>
        <w:spacing w:after="0" w:line="360" w:lineRule="auto"/>
        <w:jc w:val="both"/>
        <w:rPr>
          <w:color w:val="FF0000"/>
        </w:rPr>
      </w:pPr>
    </w:p>
    <w:p w:rsidR="00981917" w:rsidRPr="000F11C8" w:rsidRDefault="00BF2404" w:rsidP="00293951">
      <w:pPr>
        <w:spacing w:after="0" w:line="360" w:lineRule="auto"/>
        <w:jc w:val="both"/>
        <w:rPr>
          <w:color w:val="FF0000"/>
        </w:rPr>
      </w:pPr>
      <w:r w:rsidRPr="00BF2404">
        <w:rPr>
          <w:noProof/>
          <w:color w:val="FF0000"/>
        </w:rPr>
        <w:drawing>
          <wp:inline distT="0" distB="0" distL="0" distR="0" wp14:anchorId="5A33CB42" wp14:editId="10098DFA">
            <wp:extent cx="5619750" cy="310515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10911" w:rsidRPr="004D0486" w:rsidRDefault="00410911" w:rsidP="00293951">
      <w:pPr>
        <w:pStyle w:val="Heading3"/>
        <w:spacing w:before="0"/>
      </w:pPr>
      <w:bookmarkStart w:id="41" w:name="_Toc489345735"/>
      <w:bookmarkStart w:id="42" w:name="_Toc489345940"/>
      <w:bookmarkStart w:id="43" w:name="_Toc489537697"/>
      <w:r w:rsidRPr="004D0486">
        <w:rPr>
          <w:b/>
        </w:rPr>
        <w:t>Figure</w:t>
      </w:r>
      <w:r w:rsidR="00B57CC9">
        <w:rPr>
          <w:b/>
        </w:rPr>
        <w:t xml:space="preserve"> </w:t>
      </w:r>
      <w:r w:rsidRPr="004D0486">
        <w:rPr>
          <w:b/>
        </w:rPr>
        <w:t>1:</w:t>
      </w:r>
      <w:r w:rsidRPr="004D0486">
        <w:t xml:space="preserve"> Advanced Economies Quarterly GDP Growth Rates</w:t>
      </w:r>
      <w:bookmarkEnd w:id="41"/>
      <w:bookmarkEnd w:id="42"/>
      <w:bookmarkEnd w:id="43"/>
    </w:p>
    <w:p w:rsidR="00410911" w:rsidRPr="009437BF" w:rsidRDefault="00410911" w:rsidP="00293951">
      <w:pPr>
        <w:spacing w:after="0" w:line="360" w:lineRule="auto"/>
        <w:jc w:val="both"/>
        <w:rPr>
          <w:rFonts w:cs="Arial"/>
          <w:szCs w:val="18"/>
        </w:rPr>
      </w:pPr>
      <w:r w:rsidRPr="009437BF">
        <w:rPr>
          <w:rFonts w:cs="Arial"/>
          <w:szCs w:val="18"/>
        </w:rPr>
        <w:t>Source: Various Sources</w:t>
      </w:r>
    </w:p>
    <w:p w:rsidR="00463212" w:rsidRPr="00A779FD" w:rsidRDefault="00463212" w:rsidP="00A779FD">
      <w:pPr>
        <w:spacing w:after="0" w:line="360" w:lineRule="auto"/>
        <w:jc w:val="both"/>
        <w:rPr>
          <w:rFonts w:cs="Arial"/>
          <w:color w:val="FF0000"/>
        </w:rPr>
      </w:pPr>
    </w:p>
    <w:p w:rsidR="00525F43" w:rsidRPr="002D3BFD" w:rsidRDefault="00A779FD" w:rsidP="00A779FD">
      <w:pPr>
        <w:autoSpaceDE w:val="0"/>
        <w:autoSpaceDN w:val="0"/>
        <w:adjustRightInd w:val="0"/>
        <w:spacing w:after="0" w:line="360" w:lineRule="auto"/>
        <w:jc w:val="both"/>
        <w:rPr>
          <w:rFonts w:cs="Arial"/>
          <w:sz w:val="24"/>
          <w:szCs w:val="24"/>
        </w:rPr>
      </w:pPr>
      <w:r w:rsidRPr="002D3BFD">
        <w:rPr>
          <w:rFonts w:cs="Arial"/>
          <w:sz w:val="24"/>
          <w:szCs w:val="24"/>
        </w:rPr>
        <w:t xml:space="preserve">Economic performance across emerging market and developing economies has remained mixed. Whereas China’s growth remained strong, reflecting continued policy support, activity has slowed, in India because of the impact of the currency exchange initiative, as well as in Brazil, which has been mired in a deep recession. Activity remained weak in fuel and nonfuel commodity exporters more generally, while geopolitical factors held back growth in parts of the Middle East and Turkey. </w:t>
      </w:r>
      <w:r w:rsidR="00410911" w:rsidRPr="002D3BFD">
        <w:rPr>
          <w:rFonts w:cs="Arial"/>
          <w:sz w:val="24"/>
          <w:szCs w:val="24"/>
        </w:rPr>
        <w:t xml:space="preserve">Figure 2, </w:t>
      </w:r>
      <w:r w:rsidR="006B5A99">
        <w:rPr>
          <w:rFonts w:cs="Arial"/>
          <w:sz w:val="24"/>
          <w:szCs w:val="24"/>
        </w:rPr>
        <w:t>i</w:t>
      </w:r>
      <w:r w:rsidR="00410911" w:rsidRPr="002D3BFD">
        <w:rPr>
          <w:rFonts w:cs="Arial"/>
          <w:sz w:val="24"/>
          <w:szCs w:val="24"/>
        </w:rPr>
        <w:t>ndicates that in the emerging markets an</w:t>
      </w:r>
      <w:r w:rsidR="00FF110F" w:rsidRPr="002D3BFD">
        <w:rPr>
          <w:rFonts w:cs="Arial"/>
          <w:sz w:val="24"/>
          <w:szCs w:val="24"/>
        </w:rPr>
        <w:t>d developing economies, 2017 (Q1</w:t>
      </w:r>
      <w:r w:rsidR="00410911" w:rsidRPr="002D3BFD">
        <w:rPr>
          <w:rFonts w:cs="Arial"/>
          <w:sz w:val="24"/>
          <w:szCs w:val="24"/>
        </w:rPr>
        <w:t xml:space="preserve">) the Quarterly Real GDP growth rates </w:t>
      </w:r>
      <w:r w:rsidR="00FF110F" w:rsidRPr="002D3BFD">
        <w:rPr>
          <w:rFonts w:cs="Arial"/>
          <w:sz w:val="24"/>
          <w:szCs w:val="24"/>
        </w:rPr>
        <w:t>increased</w:t>
      </w:r>
      <w:r w:rsidR="00410911" w:rsidRPr="002D3BFD">
        <w:rPr>
          <w:rFonts w:cs="Arial"/>
          <w:sz w:val="24"/>
          <w:szCs w:val="24"/>
        </w:rPr>
        <w:t xml:space="preserve"> in the following countries, Brazil,</w:t>
      </w:r>
      <w:r w:rsidR="00FF110F" w:rsidRPr="002D3BFD">
        <w:rPr>
          <w:rFonts w:cs="Arial"/>
          <w:sz w:val="24"/>
          <w:szCs w:val="24"/>
        </w:rPr>
        <w:t xml:space="preserve"> China, Indonesia, Malaysia, </w:t>
      </w:r>
      <w:r w:rsidR="00B14545" w:rsidRPr="002D3BFD">
        <w:rPr>
          <w:rFonts w:cs="Arial"/>
          <w:sz w:val="24"/>
          <w:szCs w:val="24"/>
        </w:rPr>
        <w:t>Philippines and Ru</w:t>
      </w:r>
      <w:r w:rsidR="00FF110F" w:rsidRPr="002D3BFD">
        <w:rPr>
          <w:rFonts w:cs="Arial"/>
          <w:sz w:val="24"/>
          <w:szCs w:val="24"/>
        </w:rPr>
        <w:t>ssia by 1</w:t>
      </w:r>
      <w:r w:rsidR="00B14545" w:rsidRPr="002D3BFD">
        <w:rPr>
          <w:rFonts w:cs="Arial"/>
          <w:sz w:val="24"/>
          <w:szCs w:val="24"/>
        </w:rPr>
        <w:t xml:space="preserve">%, </w:t>
      </w:r>
      <w:r w:rsidR="00FF110F" w:rsidRPr="002D3BFD">
        <w:rPr>
          <w:rFonts w:cs="Arial"/>
          <w:sz w:val="24"/>
          <w:szCs w:val="24"/>
        </w:rPr>
        <w:t>6</w:t>
      </w:r>
      <w:r w:rsidR="006B5A99">
        <w:rPr>
          <w:rFonts w:cs="Arial"/>
          <w:sz w:val="24"/>
          <w:szCs w:val="24"/>
        </w:rPr>
        <w:t>,</w:t>
      </w:r>
      <w:r w:rsidR="00FF110F" w:rsidRPr="002D3BFD">
        <w:rPr>
          <w:rFonts w:cs="Arial"/>
          <w:sz w:val="24"/>
          <w:szCs w:val="24"/>
        </w:rPr>
        <w:t>9</w:t>
      </w:r>
      <w:r w:rsidR="00410911" w:rsidRPr="002D3BFD">
        <w:rPr>
          <w:rFonts w:cs="Arial"/>
          <w:sz w:val="24"/>
          <w:szCs w:val="24"/>
        </w:rPr>
        <w:t>%,</w:t>
      </w:r>
      <w:r w:rsidR="00FF110F" w:rsidRPr="002D3BFD">
        <w:rPr>
          <w:rFonts w:cs="Arial"/>
          <w:sz w:val="24"/>
          <w:szCs w:val="24"/>
        </w:rPr>
        <w:t xml:space="preserve"> 5%, 5</w:t>
      </w:r>
      <w:r w:rsidR="006B5A99">
        <w:rPr>
          <w:rFonts w:cs="Arial"/>
          <w:sz w:val="24"/>
          <w:szCs w:val="24"/>
        </w:rPr>
        <w:t>,</w:t>
      </w:r>
      <w:r w:rsidR="00FF110F" w:rsidRPr="002D3BFD">
        <w:rPr>
          <w:rFonts w:cs="Arial"/>
          <w:sz w:val="24"/>
          <w:szCs w:val="24"/>
        </w:rPr>
        <w:t>6%, 7%</w:t>
      </w:r>
      <w:r w:rsidR="00410911" w:rsidRPr="002D3BFD">
        <w:rPr>
          <w:rFonts w:cs="Arial"/>
          <w:sz w:val="24"/>
          <w:szCs w:val="24"/>
        </w:rPr>
        <w:t xml:space="preserve"> </w:t>
      </w:r>
      <w:r w:rsidR="00FF110F" w:rsidRPr="002D3BFD">
        <w:rPr>
          <w:rFonts w:cs="Arial"/>
          <w:sz w:val="24"/>
          <w:szCs w:val="24"/>
        </w:rPr>
        <w:t>and 0</w:t>
      </w:r>
      <w:r w:rsidR="006B5A99">
        <w:rPr>
          <w:rFonts w:cs="Arial"/>
          <w:sz w:val="24"/>
          <w:szCs w:val="24"/>
        </w:rPr>
        <w:t>,</w:t>
      </w:r>
      <w:r w:rsidR="00FF110F" w:rsidRPr="002D3BFD">
        <w:rPr>
          <w:rFonts w:cs="Arial"/>
          <w:sz w:val="24"/>
          <w:szCs w:val="24"/>
        </w:rPr>
        <w:t>5</w:t>
      </w:r>
      <w:r w:rsidR="00410911" w:rsidRPr="002D3BFD">
        <w:rPr>
          <w:rFonts w:cs="Arial"/>
          <w:sz w:val="24"/>
          <w:szCs w:val="24"/>
        </w:rPr>
        <w:t xml:space="preserve">% respectively. Meanwhile, </w:t>
      </w:r>
      <w:r w:rsidR="00B14545" w:rsidRPr="002D3BFD">
        <w:rPr>
          <w:rFonts w:cs="Arial"/>
          <w:sz w:val="24"/>
          <w:szCs w:val="24"/>
        </w:rPr>
        <w:t>India</w:t>
      </w:r>
      <w:r w:rsidR="00525F43" w:rsidRPr="002D3BFD">
        <w:rPr>
          <w:rFonts w:cs="Arial"/>
          <w:sz w:val="24"/>
          <w:szCs w:val="24"/>
        </w:rPr>
        <w:t>,</w:t>
      </w:r>
      <w:r w:rsidR="00410911" w:rsidRPr="002D3BFD">
        <w:rPr>
          <w:rFonts w:cs="Arial"/>
          <w:sz w:val="24"/>
          <w:szCs w:val="24"/>
        </w:rPr>
        <w:t xml:space="preserve"> South Af</w:t>
      </w:r>
      <w:r w:rsidR="00FF110F" w:rsidRPr="002D3BFD">
        <w:rPr>
          <w:rFonts w:cs="Arial"/>
          <w:sz w:val="24"/>
          <w:szCs w:val="24"/>
        </w:rPr>
        <w:t>rica and Nigeria, decreased by 6</w:t>
      </w:r>
      <w:proofErr w:type="gramStart"/>
      <w:r w:rsidR="006B5A99">
        <w:rPr>
          <w:rFonts w:cs="Arial"/>
          <w:sz w:val="24"/>
          <w:szCs w:val="24"/>
        </w:rPr>
        <w:t>,</w:t>
      </w:r>
      <w:r w:rsidR="00FF110F" w:rsidRPr="002D3BFD">
        <w:rPr>
          <w:rFonts w:cs="Arial"/>
          <w:sz w:val="24"/>
          <w:szCs w:val="24"/>
        </w:rPr>
        <w:t>1</w:t>
      </w:r>
      <w:proofErr w:type="gramEnd"/>
      <w:r w:rsidR="00410911" w:rsidRPr="002D3BFD">
        <w:rPr>
          <w:rFonts w:cs="Arial"/>
          <w:sz w:val="24"/>
          <w:szCs w:val="24"/>
        </w:rPr>
        <w:t xml:space="preserve">%, </w:t>
      </w:r>
      <w:r w:rsidR="00FF110F" w:rsidRPr="002D3BFD">
        <w:rPr>
          <w:rFonts w:cs="Arial"/>
          <w:sz w:val="24"/>
          <w:szCs w:val="24"/>
        </w:rPr>
        <w:t>0</w:t>
      </w:r>
      <w:r w:rsidR="006B5A99">
        <w:rPr>
          <w:rFonts w:cs="Arial"/>
          <w:sz w:val="24"/>
          <w:szCs w:val="24"/>
        </w:rPr>
        <w:t>,</w:t>
      </w:r>
      <w:r w:rsidR="00FF110F" w:rsidRPr="002D3BFD">
        <w:rPr>
          <w:rFonts w:cs="Arial"/>
          <w:sz w:val="24"/>
          <w:szCs w:val="24"/>
        </w:rPr>
        <w:t>7</w:t>
      </w:r>
      <w:r w:rsidR="00410911" w:rsidRPr="002D3BFD">
        <w:rPr>
          <w:rFonts w:cs="Arial"/>
          <w:sz w:val="24"/>
          <w:szCs w:val="24"/>
        </w:rPr>
        <w:t xml:space="preserve">%, </w:t>
      </w:r>
      <w:r w:rsidR="00FF110F" w:rsidRPr="002D3BFD">
        <w:rPr>
          <w:rFonts w:cs="Arial"/>
          <w:sz w:val="24"/>
          <w:szCs w:val="24"/>
        </w:rPr>
        <w:t>and 0</w:t>
      </w:r>
      <w:r w:rsidR="006B5A99">
        <w:rPr>
          <w:rFonts w:cs="Arial"/>
          <w:sz w:val="24"/>
          <w:szCs w:val="24"/>
        </w:rPr>
        <w:t>,</w:t>
      </w:r>
      <w:r w:rsidR="00FF110F" w:rsidRPr="002D3BFD">
        <w:rPr>
          <w:rFonts w:cs="Arial"/>
          <w:sz w:val="24"/>
          <w:szCs w:val="24"/>
        </w:rPr>
        <w:t>5</w:t>
      </w:r>
      <w:r w:rsidR="00410911" w:rsidRPr="002D3BFD">
        <w:rPr>
          <w:rFonts w:cs="Arial"/>
          <w:sz w:val="24"/>
          <w:szCs w:val="24"/>
        </w:rPr>
        <w:t>% as compa</w:t>
      </w:r>
      <w:r w:rsidR="00B14545" w:rsidRPr="002D3BFD">
        <w:rPr>
          <w:rFonts w:cs="Arial"/>
          <w:sz w:val="24"/>
          <w:szCs w:val="24"/>
        </w:rPr>
        <w:t xml:space="preserve">red to the </w:t>
      </w:r>
      <w:r w:rsidR="00FF110F" w:rsidRPr="002D3BFD">
        <w:rPr>
          <w:rFonts w:cs="Arial"/>
          <w:sz w:val="24"/>
          <w:szCs w:val="24"/>
        </w:rPr>
        <w:t>(Q1</w:t>
      </w:r>
      <w:r w:rsidR="008D203C" w:rsidRPr="002D3BFD">
        <w:rPr>
          <w:rFonts w:cs="Arial"/>
          <w:sz w:val="24"/>
          <w:szCs w:val="24"/>
        </w:rPr>
        <w:t xml:space="preserve">) of </w:t>
      </w:r>
      <w:r w:rsidR="00FF110F" w:rsidRPr="002D3BFD">
        <w:rPr>
          <w:rFonts w:cs="Arial"/>
          <w:sz w:val="24"/>
          <w:szCs w:val="24"/>
        </w:rPr>
        <w:t>2016</w:t>
      </w:r>
      <w:r w:rsidR="00B14545" w:rsidRPr="002D3BFD">
        <w:rPr>
          <w:rFonts w:cs="Arial"/>
          <w:sz w:val="24"/>
          <w:szCs w:val="24"/>
        </w:rPr>
        <w:t xml:space="preserve"> </w:t>
      </w:r>
      <w:r w:rsidR="006B5A99">
        <w:rPr>
          <w:rFonts w:cs="Arial"/>
          <w:sz w:val="24"/>
          <w:szCs w:val="24"/>
        </w:rPr>
        <w:t>F</w:t>
      </w:r>
      <w:r w:rsidR="00410911" w:rsidRPr="002D3BFD">
        <w:rPr>
          <w:rFonts w:cs="Arial"/>
          <w:sz w:val="24"/>
          <w:szCs w:val="24"/>
        </w:rPr>
        <w:t>igures.</w:t>
      </w:r>
      <w:r w:rsidR="00525F43" w:rsidRPr="002D3BFD">
        <w:rPr>
          <w:rFonts w:cs="Arial"/>
          <w:sz w:val="24"/>
          <w:szCs w:val="24"/>
        </w:rPr>
        <w:t xml:space="preserve"> </w:t>
      </w:r>
    </w:p>
    <w:p w:rsidR="00463212" w:rsidRDefault="00463212" w:rsidP="00A6420E">
      <w:pPr>
        <w:spacing w:after="0" w:line="360" w:lineRule="auto"/>
        <w:jc w:val="both"/>
        <w:rPr>
          <w:noProof/>
          <w:color w:val="FF0000"/>
        </w:rPr>
      </w:pPr>
    </w:p>
    <w:p w:rsidR="00BF2404" w:rsidRPr="000F11C8" w:rsidRDefault="00BF2404" w:rsidP="00293951">
      <w:pPr>
        <w:spacing w:after="0" w:line="360" w:lineRule="auto"/>
        <w:jc w:val="both"/>
        <w:rPr>
          <w:color w:val="FF0000"/>
        </w:rPr>
      </w:pPr>
      <w:r w:rsidRPr="00BF2404">
        <w:rPr>
          <w:noProof/>
          <w:color w:val="FF0000"/>
        </w:rPr>
        <w:drawing>
          <wp:inline distT="0" distB="0" distL="0" distR="0" wp14:anchorId="599871FB" wp14:editId="485992EF">
            <wp:extent cx="5610225" cy="3295650"/>
            <wp:effectExtent l="19050" t="0" r="9525"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10911" w:rsidRPr="00EA37A6" w:rsidRDefault="00410911" w:rsidP="00293951">
      <w:pPr>
        <w:pStyle w:val="Heading3"/>
        <w:spacing w:before="0"/>
      </w:pPr>
      <w:bookmarkStart w:id="44" w:name="_Toc489345736"/>
      <w:bookmarkStart w:id="45" w:name="_Toc489345941"/>
      <w:bookmarkStart w:id="46" w:name="_Toc489537698"/>
      <w:r w:rsidRPr="00EA37A6">
        <w:rPr>
          <w:b/>
        </w:rPr>
        <w:t>Figure 2:</w:t>
      </w:r>
      <w:r w:rsidRPr="00EA37A6">
        <w:t xml:space="preserve"> Emerging Markets and Developing Economies Quarterly GDP Growth Rates</w:t>
      </w:r>
      <w:bookmarkEnd w:id="44"/>
      <w:bookmarkEnd w:id="45"/>
      <w:bookmarkEnd w:id="46"/>
    </w:p>
    <w:p w:rsidR="00410911" w:rsidRPr="00EA37A6" w:rsidRDefault="00410911" w:rsidP="00293951">
      <w:pPr>
        <w:spacing w:after="0" w:line="360" w:lineRule="auto"/>
        <w:jc w:val="both"/>
        <w:rPr>
          <w:rFonts w:cs="Arial"/>
          <w:szCs w:val="18"/>
        </w:rPr>
      </w:pPr>
      <w:r w:rsidRPr="00EA37A6">
        <w:rPr>
          <w:rFonts w:cs="Arial"/>
          <w:szCs w:val="18"/>
        </w:rPr>
        <w:t>Source: Various Sources</w:t>
      </w:r>
    </w:p>
    <w:p w:rsidR="00410911" w:rsidRPr="000F11C8" w:rsidRDefault="00410911" w:rsidP="00A6420E">
      <w:pPr>
        <w:spacing w:after="0" w:line="360" w:lineRule="auto"/>
        <w:jc w:val="both"/>
        <w:rPr>
          <w:rFonts w:cs="Arial"/>
          <w:b/>
          <w:color w:val="FF0000"/>
          <w:u w:val="single"/>
        </w:rPr>
      </w:pPr>
    </w:p>
    <w:p w:rsidR="00410911" w:rsidRPr="002D3BFD" w:rsidRDefault="00410911" w:rsidP="00D512EF">
      <w:pPr>
        <w:pStyle w:val="Heading2"/>
        <w:numPr>
          <w:ilvl w:val="1"/>
          <w:numId w:val="11"/>
        </w:numPr>
        <w:spacing w:line="360" w:lineRule="auto"/>
        <w:rPr>
          <w:szCs w:val="24"/>
          <w:u w:val="single"/>
        </w:rPr>
      </w:pPr>
      <w:bookmarkStart w:id="47" w:name="_Toc489345737"/>
      <w:bookmarkStart w:id="48" w:name="_Toc489345942"/>
      <w:bookmarkStart w:id="49" w:name="_Toc489537699"/>
      <w:r w:rsidRPr="002D3BFD">
        <w:rPr>
          <w:szCs w:val="24"/>
        </w:rPr>
        <w:t>Global Grain forecast</w:t>
      </w:r>
      <w:bookmarkEnd w:id="47"/>
      <w:bookmarkEnd w:id="48"/>
      <w:bookmarkEnd w:id="49"/>
    </w:p>
    <w:p w:rsidR="00410911" w:rsidRPr="002D3BFD" w:rsidRDefault="00397594" w:rsidP="00D512EF">
      <w:pPr>
        <w:spacing w:after="0" w:line="360" w:lineRule="auto"/>
        <w:jc w:val="both"/>
        <w:rPr>
          <w:rFonts w:cs="Arial"/>
          <w:sz w:val="24"/>
          <w:szCs w:val="24"/>
        </w:rPr>
      </w:pPr>
      <w:r w:rsidRPr="002D3BFD">
        <w:rPr>
          <w:rFonts w:cs="Arial"/>
          <w:sz w:val="24"/>
          <w:szCs w:val="24"/>
        </w:rPr>
        <w:t xml:space="preserve">According to the International Grain council report (2017), global total </w:t>
      </w:r>
      <w:r w:rsidR="00921D04">
        <w:rPr>
          <w:rFonts w:cs="Arial"/>
          <w:sz w:val="24"/>
          <w:szCs w:val="24"/>
        </w:rPr>
        <w:t>g</w:t>
      </w:r>
      <w:r w:rsidRPr="002D3BFD">
        <w:rPr>
          <w:rFonts w:cs="Arial"/>
          <w:sz w:val="24"/>
          <w:szCs w:val="24"/>
        </w:rPr>
        <w:t xml:space="preserve">rain production in 2017/18 is expected to retreat by 3% from the previous season’s record. The first stocks contraction in five years is predicted, with maize likely seeing the biggest fall. Global total Grain trade will probably stay high in 2017/18; reductions for wheat and barley account for most of the small projected decline. Global soya bean supplies are likely to stay elevated in 2017/18 but, due to rising uptake, stocks could contract by 9% year on year. World rice stocks in 2017/18 are seen steady year on year, but major exporters’ inventories are likely to fall, with those in Thailand dropping to a nine-year </w:t>
      </w:r>
      <w:proofErr w:type="spellStart"/>
      <w:r w:rsidRPr="002D3BFD">
        <w:rPr>
          <w:rFonts w:cs="Arial"/>
          <w:sz w:val="24"/>
          <w:szCs w:val="24"/>
        </w:rPr>
        <w:t>low.</w:t>
      </w:r>
      <w:r w:rsidR="00410911" w:rsidRPr="002D3BFD">
        <w:rPr>
          <w:rFonts w:cs="Arial"/>
          <w:sz w:val="24"/>
          <w:szCs w:val="24"/>
        </w:rPr>
        <w:t>The</w:t>
      </w:r>
      <w:proofErr w:type="spellEnd"/>
      <w:r w:rsidR="00410911" w:rsidRPr="002D3BFD">
        <w:rPr>
          <w:rFonts w:cs="Arial"/>
          <w:sz w:val="24"/>
          <w:szCs w:val="24"/>
        </w:rPr>
        <w:t xml:space="preserve"> global grain supply forecast indicates a total grain increase of </w:t>
      </w:r>
      <w:r w:rsidR="00BF75C6" w:rsidRPr="002D3BFD">
        <w:rPr>
          <w:rFonts w:cs="Arial"/>
          <w:sz w:val="24"/>
          <w:szCs w:val="24"/>
        </w:rPr>
        <w:t>4</w:t>
      </w:r>
      <w:r w:rsidR="00921D04">
        <w:rPr>
          <w:rFonts w:cs="Arial"/>
          <w:sz w:val="24"/>
          <w:szCs w:val="24"/>
        </w:rPr>
        <w:t>,</w:t>
      </w:r>
      <w:r w:rsidR="00BF75C6" w:rsidRPr="002D3BFD">
        <w:rPr>
          <w:rFonts w:cs="Arial"/>
          <w:sz w:val="24"/>
          <w:szCs w:val="24"/>
        </w:rPr>
        <w:t>6</w:t>
      </w:r>
      <w:r w:rsidR="00410911" w:rsidRPr="002D3BFD">
        <w:rPr>
          <w:rFonts w:cs="Arial"/>
          <w:sz w:val="24"/>
          <w:szCs w:val="24"/>
        </w:rPr>
        <w:t>%,</w:t>
      </w:r>
      <w:r w:rsidR="00BF75C6" w:rsidRPr="002D3BFD">
        <w:rPr>
          <w:rFonts w:cs="Arial"/>
          <w:sz w:val="24"/>
          <w:szCs w:val="24"/>
        </w:rPr>
        <w:t xml:space="preserve"> from 3027</w:t>
      </w:r>
      <w:r w:rsidR="00921D04">
        <w:rPr>
          <w:rFonts w:cs="Arial"/>
          <w:sz w:val="24"/>
          <w:szCs w:val="24"/>
        </w:rPr>
        <w:t>,</w:t>
      </w:r>
      <w:r w:rsidR="00BF75C6" w:rsidRPr="002D3BFD">
        <w:rPr>
          <w:rFonts w:cs="Arial"/>
          <w:sz w:val="24"/>
          <w:szCs w:val="24"/>
        </w:rPr>
        <w:t>72 million metric tons in 2016 (Q1</w:t>
      </w:r>
      <w:r w:rsidR="00363C60" w:rsidRPr="002D3BFD">
        <w:rPr>
          <w:rFonts w:cs="Arial"/>
          <w:sz w:val="24"/>
          <w:szCs w:val="24"/>
        </w:rPr>
        <w:t xml:space="preserve">) to </w:t>
      </w:r>
      <w:r w:rsidR="00BF75C6" w:rsidRPr="002D3BFD">
        <w:rPr>
          <w:rFonts w:cs="Arial"/>
          <w:sz w:val="24"/>
          <w:szCs w:val="24"/>
        </w:rPr>
        <w:t>3166</w:t>
      </w:r>
      <w:r w:rsidR="00921D04">
        <w:rPr>
          <w:rFonts w:cs="Arial"/>
          <w:sz w:val="24"/>
          <w:szCs w:val="24"/>
        </w:rPr>
        <w:t>,</w:t>
      </w:r>
      <w:r w:rsidR="00BF75C6" w:rsidRPr="002D3BFD">
        <w:rPr>
          <w:rFonts w:cs="Arial"/>
          <w:sz w:val="24"/>
          <w:szCs w:val="24"/>
        </w:rPr>
        <w:t>43 million metric tons in 2017 (Q1</w:t>
      </w:r>
      <w:r w:rsidR="00410911" w:rsidRPr="002D3BFD">
        <w:rPr>
          <w:rFonts w:cs="Arial"/>
          <w:sz w:val="24"/>
          <w:szCs w:val="24"/>
        </w:rPr>
        <w:t>). Global</w:t>
      </w:r>
      <w:r w:rsidR="00BF75C6" w:rsidRPr="002D3BFD">
        <w:rPr>
          <w:rFonts w:cs="Arial"/>
          <w:sz w:val="24"/>
          <w:szCs w:val="24"/>
        </w:rPr>
        <w:t xml:space="preserve"> supply projections for 2017 (Q1</w:t>
      </w:r>
      <w:r w:rsidR="00410911" w:rsidRPr="002D3BFD">
        <w:rPr>
          <w:rFonts w:cs="Arial"/>
          <w:sz w:val="24"/>
          <w:szCs w:val="24"/>
        </w:rPr>
        <w:t xml:space="preserve">) of wheat, coarse grains, rice milled, oil seeds, oil meals and </w:t>
      </w:r>
      <w:r w:rsidR="00363C60" w:rsidRPr="002D3BFD">
        <w:rPr>
          <w:rFonts w:cs="Arial"/>
          <w:sz w:val="24"/>
          <w:szCs w:val="24"/>
        </w:rPr>
        <w:t>vegetable oils increa</w:t>
      </w:r>
      <w:r w:rsidR="00BF75C6" w:rsidRPr="002D3BFD">
        <w:rPr>
          <w:rFonts w:cs="Arial"/>
          <w:sz w:val="24"/>
          <w:szCs w:val="24"/>
        </w:rPr>
        <w:t>sed by 4</w:t>
      </w:r>
      <w:r w:rsidR="00921D04">
        <w:rPr>
          <w:rFonts w:cs="Arial"/>
          <w:sz w:val="24"/>
          <w:szCs w:val="24"/>
        </w:rPr>
        <w:t>,</w:t>
      </w:r>
      <w:r w:rsidR="00BF75C6" w:rsidRPr="002D3BFD">
        <w:rPr>
          <w:rFonts w:cs="Arial"/>
          <w:sz w:val="24"/>
          <w:szCs w:val="24"/>
        </w:rPr>
        <w:t>5%, 2</w:t>
      </w:r>
      <w:r w:rsidR="00921D04">
        <w:rPr>
          <w:rFonts w:cs="Arial"/>
          <w:sz w:val="24"/>
          <w:szCs w:val="24"/>
        </w:rPr>
        <w:t>,</w:t>
      </w:r>
      <w:r w:rsidR="00BF75C6" w:rsidRPr="002D3BFD">
        <w:rPr>
          <w:rFonts w:cs="Arial"/>
          <w:sz w:val="24"/>
          <w:szCs w:val="24"/>
        </w:rPr>
        <w:t>6%, 4%, 4</w:t>
      </w:r>
      <w:r w:rsidR="00921D04">
        <w:rPr>
          <w:rFonts w:cs="Arial"/>
          <w:sz w:val="24"/>
          <w:szCs w:val="24"/>
        </w:rPr>
        <w:t>,</w:t>
      </w:r>
      <w:r w:rsidR="00BF75C6" w:rsidRPr="002D3BFD">
        <w:rPr>
          <w:rFonts w:cs="Arial"/>
          <w:sz w:val="24"/>
          <w:szCs w:val="24"/>
        </w:rPr>
        <w:t>3</w:t>
      </w:r>
      <w:r w:rsidR="00410911" w:rsidRPr="002D3BFD">
        <w:rPr>
          <w:rFonts w:cs="Arial"/>
          <w:sz w:val="24"/>
          <w:szCs w:val="24"/>
        </w:rPr>
        <w:t xml:space="preserve">%, </w:t>
      </w:r>
      <w:r w:rsidR="00BF75C6" w:rsidRPr="002D3BFD">
        <w:rPr>
          <w:rFonts w:cs="Arial"/>
          <w:sz w:val="24"/>
          <w:szCs w:val="24"/>
        </w:rPr>
        <w:t>4% and 4</w:t>
      </w:r>
      <w:r w:rsidR="00921D04">
        <w:rPr>
          <w:rFonts w:cs="Arial"/>
          <w:sz w:val="24"/>
          <w:szCs w:val="24"/>
        </w:rPr>
        <w:t>,</w:t>
      </w:r>
      <w:r w:rsidR="00BF75C6" w:rsidRPr="002D3BFD">
        <w:rPr>
          <w:rFonts w:cs="Arial"/>
          <w:sz w:val="24"/>
          <w:szCs w:val="24"/>
        </w:rPr>
        <w:t>6</w:t>
      </w:r>
      <w:r w:rsidR="00410911" w:rsidRPr="002D3BFD">
        <w:rPr>
          <w:rFonts w:cs="Arial"/>
          <w:sz w:val="24"/>
          <w:szCs w:val="24"/>
        </w:rPr>
        <w:t xml:space="preserve">% respectively. Whereas cotton declined by </w:t>
      </w:r>
      <w:r w:rsidR="00BF75C6" w:rsidRPr="002D3BFD">
        <w:rPr>
          <w:rFonts w:cs="Arial"/>
          <w:sz w:val="24"/>
          <w:szCs w:val="24"/>
        </w:rPr>
        <w:t>5%, as compared to (Q1) of 2016</w:t>
      </w:r>
      <w:r w:rsidR="00E04F8F" w:rsidRPr="002D3BFD">
        <w:rPr>
          <w:rFonts w:cs="Arial"/>
          <w:sz w:val="24"/>
          <w:szCs w:val="24"/>
        </w:rPr>
        <w:t xml:space="preserve">, see </w:t>
      </w:r>
      <w:r w:rsidR="00921D04">
        <w:rPr>
          <w:rFonts w:cs="Arial"/>
          <w:sz w:val="24"/>
          <w:szCs w:val="24"/>
        </w:rPr>
        <w:t>F</w:t>
      </w:r>
      <w:r w:rsidR="00E04F8F" w:rsidRPr="002D3BFD">
        <w:rPr>
          <w:rFonts w:cs="Arial"/>
          <w:sz w:val="24"/>
          <w:szCs w:val="24"/>
        </w:rPr>
        <w:t xml:space="preserve">igure 3. </w:t>
      </w:r>
    </w:p>
    <w:p w:rsidR="00981917" w:rsidRPr="00EA37A6" w:rsidRDefault="00956F15" w:rsidP="00952883">
      <w:pPr>
        <w:spacing w:after="0" w:line="360" w:lineRule="auto"/>
        <w:jc w:val="both"/>
        <w:rPr>
          <w:color w:val="FF0000"/>
          <w:szCs w:val="18"/>
        </w:rPr>
      </w:pPr>
      <w:r w:rsidRPr="00EA37A6">
        <w:rPr>
          <w:noProof/>
          <w:color w:val="FF0000"/>
          <w:szCs w:val="18"/>
        </w:rPr>
        <w:drawing>
          <wp:inline distT="0" distB="0" distL="0" distR="0" wp14:anchorId="2F66B21E" wp14:editId="11CBF3D4">
            <wp:extent cx="5572125" cy="3000375"/>
            <wp:effectExtent l="19050" t="0" r="9525"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10911" w:rsidRPr="00952883" w:rsidRDefault="00410911" w:rsidP="00952883">
      <w:pPr>
        <w:pStyle w:val="Heading3"/>
        <w:spacing w:before="0"/>
      </w:pPr>
      <w:bookmarkStart w:id="50" w:name="_Toc489345738"/>
      <w:bookmarkStart w:id="51" w:name="_Toc489345943"/>
      <w:bookmarkStart w:id="52" w:name="_Toc489537700"/>
      <w:r w:rsidRPr="00952883">
        <w:rPr>
          <w:b/>
        </w:rPr>
        <w:t>Figure 3:</w:t>
      </w:r>
      <w:r w:rsidRPr="00952883">
        <w:t xml:space="preserve"> Quarter</w:t>
      </w:r>
      <w:r w:rsidR="00956F15" w:rsidRPr="00952883">
        <w:t>l</w:t>
      </w:r>
      <w:r w:rsidRPr="00952883">
        <w:t>y global grain supply forecast</w:t>
      </w:r>
      <w:bookmarkEnd w:id="50"/>
      <w:bookmarkEnd w:id="51"/>
      <w:bookmarkEnd w:id="52"/>
    </w:p>
    <w:p w:rsidR="00410911" w:rsidRPr="00EA37A6" w:rsidRDefault="00410911" w:rsidP="00952883">
      <w:pPr>
        <w:spacing w:after="0" w:line="360" w:lineRule="auto"/>
        <w:jc w:val="both"/>
        <w:rPr>
          <w:rFonts w:cs="Arial"/>
          <w:szCs w:val="18"/>
        </w:rPr>
      </w:pPr>
      <w:r w:rsidRPr="00EA37A6">
        <w:rPr>
          <w:rFonts w:cs="Arial"/>
          <w:szCs w:val="18"/>
        </w:rPr>
        <w:t>Source: USDA</w:t>
      </w:r>
    </w:p>
    <w:p w:rsidR="00410911" w:rsidRPr="002D3BFD" w:rsidRDefault="00410911" w:rsidP="00A6420E">
      <w:pPr>
        <w:spacing w:after="0" w:line="360" w:lineRule="auto"/>
        <w:jc w:val="both"/>
        <w:rPr>
          <w:rFonts w:cs="Arial"/>
          <w:b/>
          <w:color w:val="FF0000"/>
          <w:sz w:val="24"/>
          <w:szCs w:val="24"/>
          <w:u w:val="single"/>
        </w:rPr>
      </w:pPr>
    </w:p>
    <w:p w:rsidR="00151E1E" w:rsidRPr="002D3BFD" w:rsidRDefault="00410911" w:rsidP="00293951">
      <w:pPr>
        <w:pStyle w:val="Heading2"/>
        <w:numPr>
          <w:ilvl w:val="1"/>
          <w:numId w:val="10"/>
        </w:numPr>
        <w:shd w:val="clear" w:color="auto" w:fill="FFFFFF"/>
        <w:spacing w:before="0" w:line="360" w:lineRule="auto"/>
        <w:jc w:val="both"/>
        <w:rPr>
          <w:rFonts w:cs="Arial"/>
          <w:szCs w:val="24"/>
        </w:rPr>
      </w:pPr>
      <w:bookmarkStart w:id="53" w:name="_Toc489345739"/>
      <w:bookmarkStart w:id="54" w:name="_Toc489345944"/>
      <w:bookmarkStart w:id="55" w:name="_Toc489537701"/>
      <w:r w:rsidRPr="002D3BFD">
        <w:rPr>
          <w:szCs w:val="24"/>
        </w:rPr>
        <w:t>Global Food Prices</w:t>
      </w:r>
      <w:bookmarkEnd w:id="53"/>
      <w:bookmarkEnd w:id="54"/>
      <w:bookmarkEnd w:id="55"/>
    </w:p>
    <w:p w:rsidR="00B41DBC" w:rsidRPr="002D3BFD" w:rsidRDefault="00B41DBC" w:rsidP="00B41DBC">
      <w:pPr>
        <w:pStyle w:val="bodytext"/>
        <w:shd w:val="clear" w:color="auto" w:fill="FFFFFF"/>
        <w:spacing w:before="0" w:beforeAutospacing="0" w:after="0" w:afterAutospacing="0" w:line="360" w:lineRule="auto"/>
        <w:jc w:val="both"/>
        <w:rPr>
          <w:rFonts w:ascii="Arial" w:hAnsi="Arial" w:cs="Arial"/>
        </w:rPr>
      </w:pPr>
      <w:r w:rsidRPr="002D3BFD">
        <w:rPr>
          <w:rFonts w:ascii="Arial" w:hAnsi="Arial" w:cs="Arial"/>
        </w:rPr>
        <w:t>According to the Food and Agriculture Organisation’s (FAO, 2017) latest outlook report for global cereal supply and demand in 2017/18 remains favourable as demand is projected to fall slightly short of the anticipated production level, allowing global stocks to remain around their record-high opening levels. FAO currently forecasts world cereal production in 2017 at 2 594 million tonnes, 5 million tonnes lower than the May forecast and down 14</w:t>
      </w:r>
      <w:proofErr w:type="gramStart"/>
      <w:r w:rsidR="00921D04">
        <w:rPr>
          <w:rFonts w:ascii="Arial" w:hAnsi="Arial" w:cs="Arial"/>
        </w:rPr>
        <w:t>,</w:t>
      </w:r>
      <w:r w:rsidRPr="002D3BFD">
        <w:rPr>
          <w:rFonts w:ascii="Arial" w:hAnsi="Arial" w:cs="Arial"/>
        </w:rPr>
        <w:t>1</w:t>
      </w:r>
      <w:proofErr w:type="gramEnd"/>
      <w:r w:rsidRPr="002D3BFD">
        <w:rPr>
          <w:rFonts w:ascii="Arial" w:hAnsi="Arial" w:cs="Arial"/>
        </w:rPr>
        <w:t xml:space="preserve"> million tonnes (0</w:t>
      </w:r>
      <w:r w:rsidR="00921D04">
        <w:rPr>
          <w:rFonts w:ascii="Arial" w:hAnsi="Arial" w:cs="Arial"/>
        </w:rPr>
        <w:t>,</w:t>
      </w:r>
      <w:r w:rsidRPr="002D3BFD">
        <w:rPr>
          <w:rFonts w:ascii="Arial" w:hAnsi="Arial" w:cs="Arial"/>
        </w:rPr>
        <w:t>5 percent) year-on-year. The monthly decrease is mostly the result of deteriorating production prospects for coarse grains and, to a lesser extent, for rice.  Compared to 2016, much of the reduction is due to expectations of a 2</w:t>
      </w:r>
      <w:proofErr w:type="gramStart"/>
      <w:r w:rsidR="00921D04">
        <w:rPr>
          <w:rFonts w:ascii="Arial" w:hAnsi="Arial" w:cs="Arial"/>
        </w:rPr>
        <w:t>,</w:t>
      </w:r>
      <w:r w:rsidRPr="002D3BFD">
        <w:rPr>
          <w:rFonts w:ascii="Arial" w:hAnsi="Arial" w:cs="Arial"/>
        </w:rPr>
        <w:t>2</w:t>
      </w:r>
      <w:proofErr w:type="gramEnd"/>
      <w:r w:rsidRPr="002D3BFD">
        <w:rPr>
          <w:rFonts w:ascii="Arial" w:hAnsi="Arial" w:cs="Arial"/>
        </w:rPr>
        <w:t xml:space="preserve"> percent contraction in global wheat output as well as lower barley and sorghum production. These declines would more than offset a 1</w:t>
      </w:r>
      <w:r w:rsidR="00921D04">
        <w:rPr>
          <w:rFonts w:ascii="Arial" w:hAnsi="Arial" w:cs="Arial"/>
        </w:rPr>
        <w:t>,</w:t>
      </w:r>
      <w:r w:rsidRPr="002D3BFD">
        <w:rPr>
          <w:rFonts w:ascii="Arial" w:hAnsi="Arial" w:cs="Arial"/>
        </w:rPr>
        <w:t>4</w:t>
      </w:r>
      <w:r w:rsidR="00921D04">
        <w:rPr>
          <w:rFonts w:ascii="Arial" w:hAnsi="Arial" w:cs="Arial"/>
        </w:rPr>
        <w:t>%</w:t>
      </w:r>
      <w:r w:rsidRPr="002D3BFD">
        <w:rPr>
          <w:rFonts w:ascii="Arial" w:hAnsi="Arial" w:cs="Arial"/>
        </w:rPr>
        <w:t xml:space="preserve"> expected expansion in global maize output, driven primarily by strong rebounds in South America and Southern Africa, and a 0</w:t>
      </w:r>
      <w:r w:rsidR="00921D04">
        <w:rPr>
          <w:rFonts w:ascii="Arial" w:hAnsi="Arial" w:cs="Arial"/>
        </w:rPr>
        <w:t>,</w:t>
      </w:r>
      <w:r w:rsidRPr="002D3BFD">
        <w:rPr>
          <w:rFonts w:ascii="Arial" w:hAnsi="Arial" w:cs="Arial"/>
        </w:rPr>
        <w:t>7 percent increase in world rice production.</w:t>
      </w:r>
    </w:p>
    <w:p w:rsidR="00A6420E" w:rsidRPr="002D3BFD" w:rsidRDefault="00B41DBC" w:rsidP="00B41DBC">
      <w:pPr>
        <w:pStyle w:val="bodytext"/>
        <w:shd w:val="clear" w:color="auto" w:fill="FFFFFF"/>
        <w:spacing w:before="0" w:beforeAutospacing="0" w:after="0" w:afterAutospacing="0" w:line="360" w:lineRule="auto"/>
        <w:jc w:val="both"/>
        <w:rPr>
          <w:rFonts w:ascii="Arial" w:hAnsi="Arial" w:cs="Arial"/>
        </w:rPr>
      </w:pPr>
      <w:r w:rsidRPr="002D3BFD">
        <w:rPr>
          <w:rFonts w:ascii="Arial" w:hAnsi="Arial" w:cs="Arial"/>
        </w:rPr>
        <w:br/>
        <w:t>World cereal utili</w:t>
      </w:r>
      <w:r w:rsidR="00921D04">
        <w:rPr>
          <w:rFonts w:ascii="Arial" w:hAnsi="Arial" w:cs="Arial"/>
        </w:rPr>
        <w:t>s</w:t>
      </w:r>
      <w:r w:rsidRPr="002D3BFD">
        <w:rPr>
          <w:rFonts w:ascii="Arial" w:hAnsi="Arial" w:cs="Arial"/>
        </w:rPr>
        <w:t>ation in 2017/18 is projected at a record level of 2 584 million tonnes, 13 million tonnes (0</w:t>
      </w:r>
      <w:proofErr w:type="gramStart"/>
      <w:r w:rsidR="00921D04">
        <w:rPr>
          <w:rFonts w:ascii="Arial" w:hAnsi="Arial" w:cs="Arial"/>
        </w:rPr>
        <w:t>,</w:t>
      </w:r>
      <w:r w:rsidRPr="002D3BFD">
        <w:rPr>
          <w:rFonts w:ascii="Arial" w:hAnsi="Arial" w:cs="Arial"/>
        </w:rPr>
        <w:t>5</w:t>
      </w:r>
      <w:proofErr w:type="gramEnd"/>
      <w:r w:rsidRPr="002D3BFD">
        <w:rPr>
          <w:rFonts w:ascii="Arial" w:hAnsi="Arial" w:cs="Arial"/>
        </w:rPr>
        <w:t xml:space="preserve"> percent) from 2016/17. This forecast stands 11 million tonnes below May expectations, largely reflecting downward adjustments made to historical wheat and maize feed estimates, particularly in China. On an annual basis, the total wheat utili</w:t>
      </w:r>
      <w:r w:rsidR="00921D04">
        <w:rPr>
          <w:rFonts w:ascii="Arial" w:hAnsi="Arial" w:cs="Arial"/>
        </w:rPr>
        <w:t>s</w:t>
      </w:r>
      <w:r w:rsidRPr="002D3BFD">
        <w:rPr>
          <w:rFonts w:ascii="Arial" w:hAnsi="Arial" w:cs="Arial"/>
        </w:rPr>
        <w:t>ation is projected to decline by 0</w:t>
      </w:r>
      <w:proofErr w:type="gramStart"/>
      <w:r w:rsidR="00921D04">
        <w:rPr>
          <w:rFonts w:ascii="Arial" w:hAnsi="Arial" w:cs="Arial"/>
        </w:rPr>
        <w:t>,</w:t>
      </w:r>
      <w:r w:rsidRPr="002D3BFD">
        <w:rPr>
          <w:rFonts w:ascii="Arial" w:hAnsi="Arial" w:cs="Arial"/>
        </w:rPr>
        <w:t>4</w:t>
      </w:r>
      <w:proofErr w:type="gramEnd"/>
      <w:r w:rsidRPr="002D3BFD">
        <w:rPr>
          <w:rFonts w:ascii="Arial" w:hAnsi="Arial" w:cs="Arial"/>
        </w:rPr>
        <w:t xml:space="preserve"> percent from 2016/17, whereas the total uses of coarse grains and rice are expected to grow by 0</w:t>
      </w:r>
      <w:r w:rsidR="00921D04">
        <w:rPr>
          <w:rFonts w:ascii="Arial" w:hAnsi="Arial" w:cs="Arial"/>
        </w:rPr>
        <w:t>,</w:t>
      </w:r>
      <w:r w:rsidRPr="002D3BFD">
        <w:rPr>
          <w:rFonts w:ascii="Arial" w:hAnsi="Arial" w:cs="Arial"/>
        </w:rPr>
        <w:t>8</w:t>
      </w:r>
      <w:r w:rsidR="00921D04">
        <w:rPr>
          <w:rFonts w:ascii="Arial" w:hAnsi="Arial" w:cs="Arial"/>
        </w:rPr>
        <w:t>%</w:t>
      </w:r>
      <w:r w:rsidRPr="002D3BFD">
        <w:rPr>
          <w:rFonts w:ascii="Arial" w:hAnsi="Arial" w:cs="Arial"/>
        </w:rPr>
        <w:t xml:space="preserve"> and 1</w:t>
      </w:r>
      <w:r w:rsidR="00921D04">
        <w:rPr>
          <w:rFonts w:ascii="Arial" w:hAnsi="Arial" w:cs="Arial"/>
        </w:rPr>
        <w:t>,</w:t>
      </w:r>
      <w:r w:rsidRPr="002D3BFD">
        <w:rPr>
          <w:rFonts w:ascii="Arial" w:hAnsi="Arial" w:cs="Arial"/>
        </w:rPr>
        <w:t>2</w:t>
      </w:r>
      <w:r w:rsidR="00921D04">
        <w:rPr>
          <w:rFonts w:ascii="Arial" w:hAnsi="Arial" w:cs="Arial"/>
        </w:rPr>
        <w:t>%</w:t>
      </w:r>
      <w:r w:rsidRPr="002D3BFD">
        <w:rPr>
          <w:rFonts w:ascii="Arial" w:hAnsi="Arial" w:cs="Arial"/>
        </w:rPr>
        <w:t>, respectively. </w:t>
      </w:r>
      <w:r w:rsidR="005032C2" w:rsidRPr="002D3BFD">
        <w:rPr>
          <w:rFonts w:ascii="Arial" w:hAnsi="Arial" w:cs="Arial"/>
        </w:rPr>
        <w:t>Globally in 2017 (Q1</w:t>
      </w:r>
      <w:r w:rsidR="00410911" w:rsidRPr="002D3BFD">
        <w:rPr>
          <w:rFonts w:ascii="Arial" w:hAnsi="Arial" w:cs="Arial"/>
        </w:rPr>
        <w:t>) some major co</w:t>
      </w:r>
      <w:r w:rsidR="005032C2" w:rsidRPr="002D3BFD">
        <w:rPr>
          <w:rFonts w:ascii="Arial" w:hAnsi="Arial" w:cs="Arial"/>
        </w:rPr>
        <w:t>untries were paying more by 11</w:t>
      </w:r>
      <w:proofErr w:type="gramStart"/>
      <w:r w:rsidR="00EB11F8">
        <w:rPr>
          <w:rFonts w:ascii="Arial" w:hAnsi="Arial" w:cs="Arial"/>
        </w:rPr>
        <w:t>,</w:t>
      </w:r>
      <w:r w:rsidR="00410911" w:rsidRPr="002D3BFD">
        <w:rPr>
          <w:rFonts w:ascii="Arial" w:hAnsi="Arial" w:cs="Arial"/>
        </w:rPr>
        <w:t>%</w:t>
      </w:r>
      <w:proofErr w:type="gramEnd"/>
      <w:r w:rsidR="00410911" w:rsidRPr="002D3BFD">
        <w:rPr>
          <w:rFonts w:ascii="Arial" w:hAnsi="Arial" w:cs="Arial"/>
        </w:rPr>
        <w:t xml:space="preserve"> on foo</w:t>
      </w:r>
      <w:r w:rsidR="005032C2" w:rsidRPr="002D3BFD">
        <w:rPr>
          <w:rFonts w:ascii="Arial" w:hAnsi="Arial" w:cs="Arial"/>
        </w:rPr>
        <w:t>d purchases compared to 2016 (Q1</w:t>
      </w:r>
      <w:r w:rsidR="00410911" w:rsidRPr="002D3BFD">
        <w:rPr>
          <w:rFonts w:ascii="Arial" w:hAnsi="Arial" w:cs="Arial"/>
        </w:rPr>
        <w:t>). The following global food pr</w:t>
      </w:r>
      <w:r w:rsidR="005032C2" w:rsidRPr="002D3BFD">
        <w:rPr>
          <w:rFonts w:ascii="Arial" w:hAnsi="Arial" w:cs="Arial"/>
        </w:rPr>
        <w:t>oducts price indices in 2017 (Q1</w:t>
      </w:r>
      <w:r w:rsidR="00410911" w:rsidRPr="002D3BFD">
        <w:rPr>
          <w:rFonts w:ascii="Arial" w:hAnsi="Arial" w:cs="Arial"/>
        </w:rPr>
        <w:t>),</w:t>
      </w:r>
      <w:r w:rsidR="00300152" w:rsidRPr="002D3BFD">
        <w:rPr>
          <w:rFonts w:ascii="Arial" w:hAnsi="Arial" w:cs="Arial"/>
        </w:rPr>
        <w:t xml:space="preserve"> meat,</w:t>
      </w:r>
      <w:r w:rsidR="00410911" w:rsidRPr="002D3BFD">
        <w:rPr>
          <w:rFonts w:ascii="Arial" w:hAnsi="Arial" w:cs="Arial"/>
        </w:rPr>
        <w:t xml:space="preserve"> dairy, </w:t>
      </w:r>
      <w:r w:rsidR="005032C2" w:rsidRPr="002D3BFD">
        <w:rPr>
          <w:rFonts w:ascii="Arial" w:hAnsi="Arial" w:cs="Arial"/>
        </w:rPr>
        <w:t xml:space="preserve">cereals, </w:t>
      </w:r>
      <w:r w:rsidR="00410911" w:rsidRPr="002D3BFD">
        <w:rPr>
          <w:rFonts w:ascii="Arial" w:hAnsi="Arial" w:cs="Arial"/>
        </w:rPr>
        <w:t xml:space="preserve">oil and, sugar reflect a steady increase by </w:t>
      </w:r>
      <w:r w:rsidR="00513471" w:rsidRPr="002D3BFD">
        <w:rPr>
          <w:rFonts w:ascii="Arial" w:hAnsi="Arial" w:cs="Arial"/>
        </w:rPr>
        <w:t>10.6</w:t>
      </w:r>
      <w:r w:rsidR="00410911" w:rsidRPr="002D3BFD">
        <w:rPr>
          <w:rFonts w:ascii="Arial" w:hAnsi="Arial" w:cs="Arial"/>
        </w:rPr>
        <w:t xml:space="preserve">%, </w:t>
      </w:r>
      <w:r w:rsidR="00513471" w:rsidRPr="002D3BFD">
        <w:rPr>
          <w:rFonts w:ascii="Arial" w:hAnsi="Arial" w:cs="Arial"/>
        </w:rPr>
        <w:t>38</w:t>
      </w:r>
      <w:proofErr w:type="gramStart"/>
      <w:r w:rsidR="0007056E">
        <w:rPr>
          <w:rFonts w:ascii="Arial" w:hAnsi="Arial" w:cs="Arial"/>
        </w:rPr>
        <w:t>,</w:t>
      </w:r>
      <w:r w:rsidR="00513471" w:rsidRPr="002D3BFD">
        <w:rPr>
          <w:rFonts w:ascii="Arial" w:hAnsi="Arial" w:cs="Arial"/>
        </w:rPr>
        <w:t>2</w:t>
      </w:r>
      <w:proofErr w:type="gramEnd"/>
      <w:r w:rsidR="00410911" w:rsidRPr="002D3BFD">
        <w:rPr>
          <w:rFonts w:ascii="Arial" w:hAnsi="Arial" w:cs="Arial"/>
        </w:rPr>
        <w:t>%</w:t>
      </w:r>
      <w:r w:rsidR="00B85B08" w:rsidRPr="002D3BFD">
        <w:rPr>
          <w:rFonts w:ascii="Arial" w:hAnsi="Arial" w:cs="Arial"/>
        </w:rPr>
        <w:t>,</w:t>
      </w:r>
      <w:r w:rsidR="00513471" w:rsidRPr="002D3BFD">
        <w:rPr>
          <w:rFonts w:ascii="Arial" w:hAnsi="Arial" w:cs="Arial"/>
        </w:rPr>
        <w:t xml:space="preserve"> 0</w:t>
      </w:r>
      <w:r w:rsidR="0007056E">
        <w:rPr>
          <w:rFonts w:ascii="Arial" w:hAnsi="Arial" w:cs="Arial"/>
        </w:rPr>
        <w:t>,</w:t>
      </w:r>
      <w:r w:rsidR="00513471" w:rsidRPr="002D3BFD">
        <w:rPr>
          <w:rFonts w:ascii="Arial" w:hAnsi="Arial" w:cs="Arial"/>
        </w:rPr>
        <w:t>07%, 18</w:t>
      </w:r>
      <w:r w:rsidR="0007056E">
        <w:rPr>
          <w:rFonts w:ascii="Arial" w:hAnsi="Arial" w:cs="Arial"/>
        </w:rPr>
        <w:t>,</w:t>
      </w:r>
      <w:r w:rsidR="00513471" w:rsidRPr="002D3BFD">
        <w:rPr>
          <w:rFonts w:ascii="Arial" w:hAnsi="Arial" w:cs="Arial"/>
        </w:rPr>
        <w:t>6% and 37</w:t>
      </w:r>
      <w:r w:rsidR="0007056E">
        <w:rPr>
          <w:rFonts w:ascii="Arial" w:hAnsi="Arial" w:cs="Arial"/>
        </w:rPr>
        <w:t>,</w:t>
      </w:r>
      <w:r w:rsidR="00513471" w:rsidRPr="002D3BFD">
        <w:rPr>
          <w:rFonts w:ascii="Arial" w:hAnsi="Arial" w:cs="Arial"/>
        </w:rPr>
        <w:t>6</w:t>
      </w:r>
      <w:r w:rsidR="00300152" w:rsidRPr="002D3BFD">
        <w:rPr>
          <w:rFonts w:ascii="Arial" w:hAnsi="Arial" w:cs="Arial"/>
        </w:rPr>
        <w:t>%,</w:t>
      </w:r>
      <w:r w:rsidR="00410911" w:rsidRPr="002D3BFD">
        <w:rPr>
          <w:rFonts w:ascii="Arial" w:hAnsi="Arial" w:cs="Arial"/>
        </w:rPr>
        <w:t xml:space="preserve"> </w:t>
      </w:r>
      <w:r w:rsidR="00300152" w:rsidRPr="002D3BFD">
        <w:rPr>
          <w:rFonts w:ascii="Arial" w:hAnsi="Arial" w:cs="Arial"/>
        </w:rPr>
        <w:t xml:space="preserve">respectively. </w:t>
      </w:r>
    </w:p>
    <w:p w:rsidR="009956A6" w:rsidRPr="000F11C8" w:rsidRDefault="009956A6" w:rsidP="009956A6">
      <w:pPr>
        <w:spacing w:after="0" w:line="360" w:lineRule="auto"/>
        <w:jc w:val="both"/>
        <w:rPr>
          <w:rFonts w:eastAsia="Times New Roman" w:cs="Arial"/>
          <w:color w:val="FF0000"/>
          <w:sz w:val="19"/>
          <w:szCs w:val="19"/>
        </w:rPr>
      </w:pPr>
    </w:p>
    <w:p w:rsidR="00981917" w:rsidRPr="00EA37A6" w:rsidRDefault="00956F15" w:rsidP="00952883">
      <w:pPr>
        <w:spacing w:after="0" w:line="360" w:lineRule="auto"/>
        <w:jc w:val="both"/>
        <w:rPr>
          <w:color w:val="FF0000"/>
          <w:szCs w:val="18"/>
        </w:rPr>
      </w:pPr>
      <w:r w:rsidRPr="00EA37A6">
        <w:rPr>
          <w:noProof/>
          <w:color w:val="FF0000"/>
          <w:szCs w:val="18"/>
        </w:rPr>
        <w:drawing>
          <wp:inline distT="0" distB="0" distL="0" distR="0" wp14:anchorId="5855D811" wp14:editId="704EEC06">
            <wp:extent cx="5660781" cy="3121269"/>
            <wp:effectExtent l="19050" t="0" r="16119" b="2931"/>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10911" w:rsidRPr="00EA37A6" w:rsidRDefault="00410911" w:rsidP="00952883">
      <w:pPr>
        <w:pStyle w:val="Heading3"/>
        <w:spacing w:before="0"/>
      </w:pPr>
      <w:bookmarkStart w:id="56" w:name="_Toc489345740"/>
      <w:bookmarkStart w:id="57" w:name="_Toc489345945"/>
      <w:bookmarkStart w:id="58" w:name="_Toc489537702"/>
      <w:r w:rsidRPr="00EA37A6">
        <w:rPr>
          <w:b/>
        </w:rPr>
        <w:t>Figure 4:</w:t>
      </w:r>
      <w:r w:rsidRPr="00EA37A6">
        <w:t xml:space="preserve"> Quarterly global food price indices</w:t>
      </w:r>
      <w:bookmarkEnd w:id="56"/>
      <w:bookmarkEnd w:id="57"/>
      <w:bookmarkEnd w:id="58"/>
    </w:p>
    <w:p w:rsidR="00410911" w:rsidRPr="00EA37A6" w:rsidRDefault="00410911" w:rsidP="00A6420E">
      <w:pPr>
        <w:spacing w:after="0" w:line="360" w:lineRule="auto"/>
        <w:jc w:val="both"/>
        <w:rPr>
          <w:rFonts w:cs="Arial"/>
          <w:szCs w:val="18"/>
        </w:rPr>
      </w:pPr>
      <w:r w:rsidRPr="00EA37A6">
        <w:rPr>
          <w:rFonts w:cs="Arial"/>
          <w:szCs w:val="18"/>
        </w:rPr>
        <w:t>Data Source: FAO</w:t>
      </w:r>
    </w:p>
    <w:p w:rsidR="007A7C67" w:rsidRDefault="007A7C67" w:rsidP="00A6420E">
      <w:pPr>
        <w:spacing w:after="0" w:line="360" w:lineRule="auto"/>
        <w:jc w:val="both"/>
        <w:rPr>
          <w:rFonts w:cs="Arial"/>
        </w:rPr>
      </w:pPr>
    </w:p>
    <w:p w:rsidR="007A7C67" w:rsidRDefault="007A7C67" w:rsidP="00A6420E">
      <w:pPr>
        <w:spacing w:after="0" w:line="360" w:lineRule="auto"/>
        <w:jc w:val="both"/>
        <w:rPr>
          <w:rFonts w:cs="Arial"/>
        </w:rPr>
      </w:pPr>
    </w:p>
    <w:p w:rsidR="007A7C67" w:rsidRDefault="007A7C67" w:rsidP="00A6420E">
      <w:pPr>
        <w:spacing w:after="0" w:line="360" w:lineRule="auto"/>
        <w:jc w:val="both"/>
        <w:rPr>
          <w:rFonts w:cs="Arial"/>
        </w:rPr>
      </w:pPr>
    </w:p>
    <w:p w:rsidR="007A7C67" w:rsidRDefault="007A7C67" w:rsidP="00A6420E">
      <w:pPr>
        <w:spacing w:after="0" w:line="360" w:lineRule="auto"/>
        <w:jc w:val="both"/>
        <w:rPr>
          <w:rFonts w:cs="Arial"/>
        </w:rPr>
      </w:pPr>
    </w:p>
    <w:p w:rsidR="007A7C67" w:rsidRDefault="007A7C67" w:rsidP="00A6420E">
      <w:pPr>
        <w:spacing w:after="0" w:line="360" w:lineRule="auto"/>
        <w:jc w:val="both"/>
        <w:rPr>
          <w:rFonts w:cs="Arial"/>
        </w:rPr>
      </w:pPr>
    </w:p>
    <w:p w:rsidR="002E6059" w:rsidRDefault="002E6059" w:rsidP="00A6420E">
      <w:pPr>
        <w:spacing w:after="0" w:line="360" w:lineRule="auto"/>
        <w:jc w:val="both"/>
        <w:rPr>
          <w:rFonts w:cs="Arial"/>
        </w:rPr>
      </w:pPr>
    </w:p>
    <w:p w:rsidR="00B57CC9" w:rsidRDefault="00B57CC9" w:rsidP="00A6420E">
      <w:pPr>
        <w:spacing w:after="0" w:line="360" w:lineRule="auto"/>
        <w:jc w:val="both"/>
        <w:rPr>
          <w:rFonts w:cs="Arial"/>
        </w:rPr>
      </w:pPr>
    </w:p>
    <w:p w:rsidR="007A7C67" w:rsidRDefault="007A7C67" w:rsidP="00A6420E">
      <w:pPr>
        <w:spacing w:after="0" w:line="360" w:lineRule="auto"/>
        <w:jc w:val="both"/>
        <w:rPr>
          <w:rFonts w:cs="Arial"/>
        </w:rPr>
      </w:pPr>
      <w:r>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1" locked="0" layoutInCell="1" allowOverlap="0" wp14:anchorId="1EC198F2" wp14:editId="04152BA6">
                <wp:simplePos x="0" y="0"/>
                <wp:positionH relativeFrom="column">
                  <wp:posOffset>-82062</wp:posOffset>
                </wp:positionH>
                <wp:positionV relativeFrom="paragraph">
                  <wp:posOffset>-16706</wp:posOffset>
                </wp:positionV>
                <wp:extent cx="5962650" cy="495300"/>
                <wp:effectExtent l="0" t="0" r="19050" b="571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495300"/>
                        </a:xfrm>
                        <a:prstGeom prst="rect">
                          <a:avLst/>
                        </a:prstGeom>
                        <a:solidFill>
                          <a:srgbClr val="EAF1DD"/>
                        </a:solidFill>
                        <a:ln w="9525">
                          <a:solidFill>
                            <a:srgbClr val="94B64E"/>
                          </a:solidFill>
                          <a:miter lim="800000"/>
                          <a:headEnd/>
                          <a:tailEnd/>
                        </a:ln>
                        <a:effectLst>
                          <a:outerShdw dist="20000" dir="5400000" rotWithShape="0">
                            <a:srgbClr val="000000">
                              <a:alpha val="37999"/>
                            </a:srgbClr>
                          </a:outerShdw>
                        </a:effectLst>
                      </wps:spPr>
                      <wps:txbx>
                        <w:txbxContent>
                          <w:p w:rsidR="002E6059" w:rsidRPr="008823B3" w:rsidRDefault="002E6059" w:rsidP="00952883">
                            <w:pPr>
                              <w:pStyle w:val="Heading1"/>
                            </w:pPr>
                            <w:bookmarkStart w:id="59" w:name="_Toc489345741"/>
                            <w:bookmarkStart w:id="60" w:name="_Toc489345946"/>
                            <w:bookmarkStart w:id="61" w:name="_Toc489537703"/>
                            <w:bookmarkStart w:id="62" w:name="_Toc489538111"/>
                            <w:bookmarkStart w:id="63" w:name="_Toc489539687"/>
                            <w:bookmarkStart w:id="64" w:name="_Toc489539783"/>
                            <w:bookmarkStart w:id="65" w:name="_Toc489539885"/>
                            <w:bookmarkStart w:id="66" w:name="_Toc489539987"/>
                            <w:bookmarkStart w:id="67" w:name="_Toc489540083"/>
                            <w:r>
                              <w:t>2 THE STATE OF THE DOMESTIC ECONOMY IN AGRICULTURE, FORESTRY AND FISHERIES</w:t>
                            </w:r>
                            <w:bookmarkEnd w:id="59"/>
                            <w:bookmarkEnd w:id="60"/>
                            <w:bookmarkEnd w:id="61"/>
                            <w:bookmarkEnd w:id="62"/>
                            <w:bookmarkEnd w:id="63"/>
                            <w:bookmarkEnd w:id="64"/>
                            <w:bookmarkEnd w:id="65"/>
                            <w:bookmarkEnd w:id="66"/>
                            <w:bookmarkEnd w:id="67"/>
                          </w:p>
                          <w:p w:rsidR="002E6059" w:rsidRDefault="002E6059" w:rsidP="007A7C67"/>
                          <w:p w:rsidR="002E6059" w:rsidRDefault="002E6059" w:rsidP="007A7C67"/>
                          <w:p w:rsidR="002E6059" w:rsidRDefault="002E6059" w:rsidP="007A7C67"/>
                          <w:p w:rsidR="002E6059" w:rsidRPr="00D25492" w:rsidRDefault="002E6059" w:rsidP="007A7C6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1" style="position:absolute;left:0;text-align:left;margin-left:-6.45pt;margin-top:-1.3pt;width:469.5pt;height: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" o:allowoverlap="f" fillcolor="#eaf1dd" strokecolor="#94b64e">
                <v:shadow on="t" color="black" opacity="24903f" origin=",.5" offset="0,.55556mm"/>
                <v:textbox>
                  <w:txbxContent>
                    <w:p w:rsidR="002E6059" w:rsidRPr="008823B3" w:rsidRDefault="002E6059" w:rsidP="00952883">
                      <w:pPr>
                        <w:pStyle w:val="Heading1"/>
                      </w:pPr>
                      <w:bookmarkStart w:id="68" w:name="_Toc489345741"/>
                      <w:bookmarkStart w:id="69" w:name="_Toc489345946"/>
                      <w:bookmarkStart w:id="70" w:name="_Toc489537703"/>
                      <w:bookmarkStart w:id="71" w:name="_Toc489538111"/>
                      <w:bookmarkStart w:id="72" w:name="_Toc489539687"/>
                      <w:bookmarkStart w:id="73" w:name="_Toc489539783"/>
                      <w:bookmarkStart w:id="74" w:name="_Toc489539885"/>
                      <w:bookmarkStart w:id="75" w:name="_Toc489539987"/>
                      <w:bookmarkStart w:id="76" w:name="_Toc489540083"/>
                      <w:r>
                        <w:t>2 THE STATE OF THE DOMESTIC ECONOMY IN AGRICULTURE, FORESTRY AND FISHERIES</w:t>
                      </w:r>
                      <w:bookmarkEnd w:id="68"/>
                      <w:bookmarkEnd w:id="69"/>
                      <w:bookmarkEnd w:id="70"/>
                      <w:bookmarkEnd w:id="71"/>
                      <w:bookmarkEnd w:id="72"/>
                      <w:bookmarkEnd w:id="73"/>
                      <w:bookmarkEnd w:id="74"/>
                      <w:bookmarkEnd w:id="75"/>
                      <w:bookmarkEnd w:id="76"/>
                    </w:p>
                    <w:p w:rsidR="002E6059" w:rsidRDefault="002E6059" w:rsidP="007A7C67"/>
                    <w:p w:rsidR="002E6059" w:rsidRDefault="002E6059" w:rsidP="007A7C67"/>
                    <w:p w:rsidR="002E6059" w:rsidRDefault="002E6059" w:rsidP="007A7C67"/>
                    <w:p w:rsidR="002E6059" w:rsidRPr="00D25492" w:rsidRDefault="002E6059" w:rsidP="007A7C67"/>
                  </w:txbxContent>
                </v:textbox>
              </v:rect>
            </w:pict>
          </mc:Fallback>
        </mc:AlternateContent>
      </w:r>
    </w:p>
    <w:p w:rsidR="007A7C67" w:rsidRDefault="007A7C67" w:rsidP="00A6420E">
      <w:pPr>
        <w:spacing w:after="0" w:line="360" w:lineRule="auto"/>
        <w:jc w:val="both"/>
        <w:rPr>
          <w:rFonts w:cs="Arial"/>
        </w:rPr>
      </w:pPr>
    </w:p>
    <w:p w:rsidR="002D3BFD" w:rsidRDefault="002D3BFD" w:rsidP="002D3BFD">
      <w:pPr>
        <w:pStyle w:val="Heading2"/>
        <w:spacing w:line="360" w:lineRule="auto"/>
        <w:rPr>
          <w:rFonts w:eastAsia="Times New Roman"/>
          <w:lang w:val="en-GB"/>
        </w:rPr>
      </w:pPr>
    </w:p>
    <w:p w:rsidR="00C939D5" w:rsidRPr="00B57CC9" w:rsidRDefault="00B57CC9" w:rsidP="002D3BFD">
      <w:pPr>
        <w:pStyle w:val="Heading2"/>
        <w:spacing w:line="360" w:lineRule="auto"/>
        <w:rPr>
          <w:rFonts w:eastAsia="Times New Roman"/>
          <w:szCs w:val="24"/>
          <w:lang w:val="en-GB"/>
        </w:rPr>
      </w:pPr>
      <w:bookmarkStart w:id="77" w:name="_Toc489345742"/>
      <w:bookmarkStart w:id="78" w:name="_Toc489345947"/>
      <w:bookmarkStart w:id="79" w:name="_Toc489537704"/>
      <w:r w:rsidRPr="00B57CC9">
        <w:rPr>
          <w:rFonts w:eastAsia="Times New Roman"/>
          <w:szCs w:val="24"/>
          <w:lang w:val="en-GB"/>
        </w:rPr>
        <w:t>2</w:t>
      </w:r>
      <w:r w:rsidR="00952883" w:rsidRPr="00B57CC9">
        <w:rPr>
          <w:rFonts w:eastAsia="Times New Roman"/>
          <w:szCs w:val="24"/>
          <w:lang w:val="en-GB"/>
        </w:rPr>
        <w:t xml:space="preserve">.1 </w:t>
      </w:r>
      <w:r w:rsidR="00C939D5" w:rsidRPr="00B57CC9">
        <w:rPr>
          <w:rFonts w:eastAsia="Times New Roman"/>
          <w:szCs w:val="24"/>
          <w:lang w:val="en-GB"/>
        </w:rPr>
        <w:t>Growth</w:t>
      </w:r>
      <w:bookmarkEnd w:id="77"/>
      <w:bookmarkEnd w:id="78"/>
      <w:bookmarkEnd w:id="79"/>
      <w:r w:rsidR="00C939D5" w:rsidRPr="00B57CC9">
        <w:rPr>
          <w:rFonts w:eastAsia="Times New Roman"/>
          <w:szCs w:val="24"/>
          <w:lang w:val="en-GB"/>
        </w:rPr>
        <w:t xml:space="preserve"> </w:t>
      </w:r>
    </w:p>
    <w:p w:rsidR="007A3AE2" w:rsidRPr="002D3BFD" w:rsidRDefault="007A3AE2" w:rsidP="002D3BFD">
      <w:pPr>
        <w:spacing w:after="0" w:line="360" w:lineRule="auto"/>
        <w:jc w:val="both"/>
        <w:rPr>
          <w:rFonts w:eastAsia="Calibri" w:cs="Arial"/>
          <w:color w:val="1A1A1A"/>
          <w:sz w:val="24"/>
          <w:szCs w:val="24"/>
          <w:lang w:eastAsia="en-US"/>
        </w:rPr>
      </w:pPr>
      <w:r w:rsidRPr="002D3BFD">
        <w:rPr>
          <w:rFonts w:eastAsia="Calibri" w:cs="Arial"/>
          <w:color w:val="1A1A1A"/>
          <w:sz w:val="24"/>
          <w:szCs w:val="24"/>
          <w:lang w:eastAsia="en-US"/>
        </w:rPr>
        <w:t>Recent data released by Statistics South Africa for the first quarter of 2017 shows a disappointing picture for the economy. Economic activity contracted over a wide range of sectors, including construction, manufacturing and transport. Only mining and agriculture made positive contributions to output growth. Political instability, high unemployment and credit ratings downgrades have dented business and consumer confidence in the country. South Africa’s real gross domestic product (measured by production</w:t>
      </w:r>
      <w:proofErr w:type="gramStart"/>
      <w:r w:rsidRPr="002D3BFD">
        <w:rPr>
          <w:rFonts w:eastAsia="Calibri" w:cs="Arial"/>
          <w:color w:val="1A1A1A"/>
          <w:sz w:val="24"/>
          <w:szCs w:val="24"/>
          <w:lang w:eastAsia="en-US"/>
        </w:rPr>
        <w:t>)  decelerated</w:t>
      </w:r>
      <w:proofErr w:type="gramEnd"/>
      <w:r w:rsidRPr="002D3BFD">
        <w:rPr>
          <w:rFonts w:eastAsia="Calibri" w:cs="Arial"/>
          <w:color w:val="1A1A1A"/>
          <w:sz w:val="24"/>
          <w:szCs w:val="24"/>
          <w:lang w:eastAsia="en-US"/>
        </w:rPr>
        <w:t xml:space="preserve"> by 0</w:t>
      </w:r>
      <w:r w:rsidR="00EB11F8">
        <w:rPr>
          <w:rFonts w:eastAsia="Calibri" w:cs="Arial"/>
          <w:color w:val="1A1A1A"/>
          <w:sz w:val="24"/>
          <w:szCs w:val="24"/>
          <w:lang w:eastAsia="en-US"/>
        </w:rPr>
        <w:t>,</w:t>
      </w:r>
      <w:r w:rsidRPr="002D3BFD">
        <w:rPr>
          <w:rFonts w:eastAsia="Calibri" w:cs="Arial"/>
          <w:color w:val="1A1A1A"/>
          <w:sz w:val="24"/>
          <w:szCs w:val="24"/>
          <w:lang w:eastAsia="en-US"/>
        </w:rPr>
        <w:t>7% in the first quarter of 2017 from -0</w:t>
      </w:r>
      <w:r w:rsidR="00EB11F8">
        <w:rPr>
          <w:rFonts w:eastAsia="Calibri" w:cs="Arial"/>
          <w:color w:val="1A1A1A"/>
          <w:sz w:val="24"/>
          <w:szCs w:val="24"/>
          <w:lang w:eastAsia="en-US"/>
        </w:rPr>
        <w:t>,</w:t>
      </w:r>
      <w:r w:rsidRPr="002D3BFD">
        <w:rPr>
          <w:rFonts w:eastAsia="Calibri" w:cs="Arial"/>
          <w:color w:val="1A1A1A"/>
          <w:sz w:val="24"/>
          <w:szCs w:val="24"/>
          <w:lang w:eastAsia="en-US"/>
        </w:rPr>
        <w:t>3% reported in the previous quarter</w:t>
      </w:r>
      <w:r w:rsidR="000752FD">
        <w:rPr>
          <w:rFonts w:eastAsia="Calibri" w:cs="Arial"/>
          <w:color w:val="1A1A1A"/>
          <w:sz w:val="24"/>
          <w:szCs w:val="24"/>
          <w:lang w:eastAsia="en-US"/>
        </w:rPr>
        <w:t>, see Figure 5</w:t>
      </w:r>
      <w:r w:rsidRPr="002D3BFD">
        <w:rPr>
          <w:rFonts w:eastAsia="Calibri" w:cs="Arial"/>
          <w:color w:val="1A1A1A"/>
          <w:sz w:val="24"/>
          <w:szCs w:val="24"/>
          <w:lang w:eastAsia="en-US"/>
        </w:rPr>
        <w:t xml:space="preserve">.  The data further revealed that </w:t>
      </w:r>
      <w:proofErr w:type="gramStart"/>
      <w:r w:rsidRPr="002D3BFD">
        <w:rPr>
          <w:rFonts w:eastAsia="Calibri" w:cs="Arial"/>
          <w:color w:val="1A1A1A"/>
          <w:sz w:val="24"/>
          <w:szCs w:val="24"/>
          <w:lang w:eastAsia="en-US"/>
        </w:rPr>
        <w:t>trade,</w:t>
      </w:r>
      <w:proofErr w:type="gramEnd"/>
      <w:r w:rsidRPr="002D3BFD">
        <w:rPr>
          <w:rFonts w:eastAsia="Calibri" w:cs="Arial"/>
          <w:color w:val="1A1A1A"/>
          <w:sz w:val="24"/>
          <w:szCs w:val="24"/>
          <w:lang w:eastAsia="en-US"/>
        </w:rPr>
        <w:t xml:space="preserve"> catering and accommodation industry was the largest contributor to a negative growth.  The trade, catering and accommodation industry shrunk by 5</w:t>
      </w:r>
      <w:proofErr w:type="gramStart"/>
      <w:r w:rsidR="00EB11F8">
        <w:rPr>
          <w:rFonts w:eastAsia="Calibri" w:cs="Arial"/>
          <w:color w:val="1A1A1A"/>
          <w:sz w:val="24"/>
          <w:szCs w:val="24"/>
          <w:lang w:eastAsia="en-US"/>
        </w:rPr>
        <w:t>,</w:t>
      </w:r>
      <w:r w:rsidRPr="002D3BFD">
        <w:rPr>
          <w:rFonts w:eastAsia="Calibri" w:cs="Arial"/>
          <w:color w:val="1A1A1A"/>
          <w:sz w:val="24"/>
          <w:szCs w:val="24"/>
          <w:lang w:eastAsia="en-US"/>
        </w:rPr>
        <w:t>9</w:t>
      </w:r>
      <w:proofErr w:type="gramEnd"/>
      <w:r w:rsidRPr="002D3BFD">
        <w:rPr>
          <w:rFonts w:eastAsia="Calibri" w:cs="Arial"/>
          <w:color w:val="1A1A1A"/>
          <w:sz w:val="24"/>
          <w:szCs w:val="24"/>
          <w:lang w:eastAsia="en-US"/>
        </w:rPr>
        <w:t>% and contributed -0</w:t>
      </w:r>
      <w:r w:rsidR="00EB11F8">
        <w:rPr>
          <w:rFonts w:eastAsia="Calibri" w:cs="Arial"/>
          <w:color w:val="1A1A1A"/>
          <w:sz w:val="24"/>
          <w:szCs w:val="24"/>
          <w:lang w:eastAsia="en-US"/>
        </w:rPr>
        <w:t>,</w:t>
      </w:r>
      <w:r w:rsidRPr="002D3BFD">
        <w:rPr>
          <w:rFonts w:eastAsia="Calibri" w:cs="Arial"/>
          <w:color w:val="1A1A1A"/>
          <w:sz w:val="24"/>
          <w:szCs w:val="24"/>
          <w:lang w:eastAsia="en-US"/>
        </w:rPr>
        <w:t>8% to the GDP growth followed by electricity, gas and water industry, which declined by -4</w:t>
      </w:r>
      <w:r w:rsidR="008526CD">
        <w:rPr>
          <w:rFonts w:eastAsia="Calibri" w:cs="Arial"/>
          <w:color w:val="1A1A1A"/>
          <w:sz w:val="24"/>
          <w:szCs w:val="24"/>
          <w:lang w:eastAsia="en-US"/>
        </w:rPr>
        <w:t>,</w:t>
      </w:r>
      <w:r w:rsidRPr="002D3BFD">
        <w:rPr>
          <w:rFonts w:eastAsia="Calibri" w:cs="Arial"/>
          <w:color w:val="1A1A1A"/>
          <w:sz w:val="24"/>
          <w:szCs w:val="24"/>
          <w:lang w:eastAsia="en-US"/>
        </w:rPr>
        <w:t>8% and contributed -0</w:t>
      </w:r>
      <w:r w:rsidR="008526CD">
        <w:rPr>
          <w:rFonts w:eastAsia="Calibri" w:cs="Arial"/>
          <w:color w:val="1A1A1A"/>
          <w:sz w:val="24"/>
          <w:szCs w:val="24"/>
          <w:lang w:eastAsia="en-US"/>
        </w:rPr>
        <w:t>,</w:t>
      </w:r>
      <w:r w:rsidRPr="002D3BFD">
        <w:rPr>
          <w:rFonts w:eastAsia="Calibri" w:cs="Arial"/>
          <w:color w:val="1A1A1A"/>
          <w:sz w:val="24"/>
          <w:szCs w:val="24"/>
          <w:lang w:eastAsia="en-US"/>
        </w:rPr>
        <w:t>1</w:t>
      </w:r>
      <w:r w:rsidR="008526CD">
        <w:rPr>
          <w:rFonts w:eastAsia="Calibri" w:cs="Arial"/>
          <w:color w:val="1A1A1A"/>
          <w:sz w:val="24"/>
          <w:szCs w:val="24"/>
          <w:lang w:eastAsia="en-US"/>
        </w:rPr>
        <w:t>%</w:t>
      </w:r>
      <w:r w:rsidRPr="002D3BFD">
        <w:rPr>
          <w:rFonts w:eastAsia="Calibri" w:cs="Arial"/>
          <w:color w:val="1A1A1A"/>
          <w:sz w:val="24"/>
          <w:szCs w:val="24"/>
          <w:lang w:eastAsia="en-US"/>
        </w:rPr>
        <w:t xml:space="preserve"> to the GDP growth. </w:t>
      </w:r>
      <w:r w:rsidR="008526CD">
        <w:rPr>
          <w:rFonts w:eastAsia="Calibri" w:cs="Arial"/>
          <w:color w:val="1A1A1A"/>
          <w:sz w:val="24"/>
          <w:szCs w:val="24"/>
          <w:lang w:eastAsia="en-US"/>
        </w:rPr>
        <w:t>The m</w:t>
      </w:r>
      <w:r w:rsidRPr="002D3BFD">
        <w:rPr>
          <w:rFonts w:eastAsia="Calibri" w:cs="Arial"/>
          <w:color w:val="1A1A1A"/>
          <w:sz w:val="24"/>
          <w:szCs w:val="24"/>
          <w:lang w:eastAsia="en-US"/>
        </w:rPr>
        <w:t>anufacturing industry contracted by 3</w:t>
      </w:r>
      <w:proofErr w:type="gramStart"/>
      <w:r w:rsidR="008526CD">
        <w:rPr>
          <w:rFonts w:eastAsia="Calibri" w:cs="Arial"/>
          <w:color w:val="1A1A1A"/>
          <w:sz w:val="24"/>
          <w:szCs w:val="24"/>
          <w:lang w:eastAsia="en-US"/>
        </w:rPr>
        <w:t>,</w:t>
      </w:r>
      <w:r w:rsidRPr="002D3BFD">
        <w:rPr>
          <w:rFonts w:eastAsia="Calibri" w:cs="Arial"/>
          <w:color w:val="1A1A1A"/>
          <w:sz w:val="24"/>
          <w:szCs w:val="24"/>
          <w:lang w:eastAsia="en-US"/>
        </w:rPr>
        <w:t>7</w:t>
      </w:r>
      <w:proofErr w:type="gramEnd"/>
      <w:r w:rsidRPr="002D3BFD">
        <w:rPr>
          <w:rFonts w:eastAsia="Calibri" w:cs="Arial"/>
          <w:color w:val="1A1A1A"/>
          <w:sz w:val="24"/>
          <w:szCs w:val="24"/>
          <w:lang w:eastAsia="en-US"/>
        </w:rPr>
        <w:t>% in the first quarter of 2017 from a contraction of 3</w:t>
      </w:r>
      <w:r w:rsidR="008526CD">
        <w:rPr>
          <w:rFonts w:eastAsia="Calibri" w:cs="Arial"/>
          <w:color w:val="1A1A1A"/>
          <w:sz w:val="24"/>
          <w:szCs w:val="24"/>
          <w:lang w:eastAsia="en-US"/>
        </w:rPr>
        <w:t>,</w:t>
      </w:r>
      <w:r w:rsidRPr="002D3BFD">
        <w:rPr>
          <w:rFonts w:eastAsia="Calibri" w:cs="Arial"/>
          <w:color w:val="1A1A1A"/>
          <w:sz w:val="24"/>
          <w:szCs w:val="24"/>
          <w:lang w:eastAsia="en-US"/>
        </w:rPr>
        <w:t xml:space="preserve">1% in the fourth quarter of 2016. The largest contributor to a decrease in manufacturing industry was attributed to a decrease in petroleum, chemical products, rubber and plastic division. In contrast, the primary industry recovered in the first quarter of 2017. </w:t>
      </w:r>
    </w:p>
    <w:p w:rsidR="007A3AE2" w:rsidRPr="007A3AE2" w:rsidRDefault="007A3AE2" w:rsidP="007A3AE2">
      <w:pPr>
        <w:spacing w:after="0" w:line="360" w:lineRule="auto"/>
        <w:jc w:val="both"/>
        <w:rPr>
          <w:rFonts w:eastAsia="Calibri" w:cs="Arial"/>
          <w:color w:val="1A1A1A"/>
          <w:lang w:eastAsia="en-US"/>
        </w:rPr>
      </w:pPr>
    </w:p>
    <w:p w:rsidR="007A3AE2" w:rsidRPr="002D3BFD" w:rsidRDefault="007A3AE2" w:rsidP="007A3AE2">
      <w:pPr>
        <w:spacing w:after="0" w:line="360" w:lineRule="auto"/>
        <w:jc w:val="both"/>
        <w:rPr>
          <w:rFonts w:eastAsia="Calibri" w:cs="Arial"/>
          <w:color w:val="1A1A1A"/>
          <w:sz w:val="24"/>
          <w:szCs w:val="24"/>
          <w:lang w:eastAsia="en-US"/>
        </w:rPr>
      </w:pPr>
      <w:r w:rsidRPr="002D3BFD">
        <w:rPr>
          <w:rFonts w:eastAsia="Calibri" w:cs="Arial"/>
          <w:color w:val="1A1A1A"/>
          <w:sz w:val="24"/>
          <w:szCs w:val="24"/>
          <w:lang w:eastAsia="en-US"/>
        </w:rPr>
        <w:t>The mining and quarrying industry rebounded by 12</w:t>
      </w:r>
      <w:proofErr w:type="gramStart"/>
      <w:r w:rsidR="008526CD">
        <w:rPr>
          <w:rFonts w:eastAsia="Calibri" w:cs="Arial"/>
          <w:color w:val="1A1A1A"/>
          <w:sz w:val="24"/>
          <w:szCs w:val="24"/>
          <w:lang w:eastAsia="en-US"/>
        </w:rPr>
        <w:t>,</w:t>
      </w:r>
      <w:r w:rsidRPr="002D3BFD">
        <w:rPr>
          <w:rFonts w:eastAsia="Calibri" w:cs="Arial"/>
          <w:color w:val="1A1A1A"/>
          <w:sz w:val="24"/>
          <w:szCs w:val="24"/>
          <w:lang w:eastAsia="en-US"/>
        </w:rPr>
        <w:t>5</w:t>
      </w:r>
      <w:proofErr w:type="gramEnd"/>
      <w:r w:rsidRPr="002D3BFD">
        <w:rPr>
          <w:rFonts w:eastAsia="Calibri" w:cs="Arial"/>
          <w:color w:val="1A1A1A"/>
          <w:sz w:val="24"/>
          <w:szCs w:val="24"/>
          <w:lang w:eastAsia="en-US"/>
        </w:rPr>
        <w:t>% in the first quarter of 2017 from a contraction of 11</w:t>
      </w:r>
      <w:r w:rsidR="008526CD">
        <w:rPr>
          <w:rFonts w:eastAsia="Calibri" w:cs="Arial"/>
          <w:color w:val="1A1A1A"/>
          <w:sz w:val="24"/>
          <w:szCs w:val="24"/>
          <w:lang w:eastAsia="en-US"/>
        </w:rPr>
        <w:t>,</w:t>
      </w:r>
      <w:r w:rsidRPr="002D3BFD">
        <w:rPr>
          <w:rFonts w:eastAsia="Calibri" w:cs="Arial"/>
          <w:color w:val="1A1A1A"/>
          <w:sz w:val="24"/>
          <w:szCs w:val="24"/>
          <w:lang w:eastAsia="en-US"/>
        </w:rPr>
        <w:t>5% and contributed 0</w:t>
      </w:r>
      <w:r w:rsidR="008526CD">
        <w:rPr>
          <w:rFonts w:eastAsia="Calibri" w:cs="Arial"/>
          <w:color w:val="1A1A1A"/>
          <w:sz w:val="24"/>
          <w:szCs w:val="24"/>
          <w:lang w:eastAsia="en-US"/>
        </w:rPr>
        <w:t>,</w:t>
      </w:r>
      <w:r w:rsidRPr="002D3BFD">
        <w:rPr>
          <w:rFonts w:eastAsia="Calibri" w:cs="Arial"/>
          <w:color w:val="1A1A1A"/>
          <w:sz w:val="24"/>
          <w:szCs w:val="24"/>
          <w:lang w:eastAsia="en-US"/>
        </w:rPr>
        <w:t>9% to the GDP. The Agriculture, Forestry and Fisheries, which reported a negative growth for the eight consecutive quarters</w:t>
      </w:r>
      <w:proofErr w:type="gramStart"/>
      <w:r w:rsidRPr="002D3BFD">
        <w:rPr>
          <w:rFonts w:eastAsia="Calibri" w:cs="Arial"/>
          <w:color w:val="1A1A1A"/>
          <w:sz w:val="24"/>
          <w:szCs w:val="24"/>
          <w:lang w:eastAsia="en-US"/>
        </w:rPr>
        <w:t>,  rebounded</w:t>
      </w:r>
      <w:proofErr w:type="gramEnd"/>
      <w:r w:rsidRPr="002D3BFD">
        <w:rPr>
          <w:rFonts w:eastAsia="Calibri" w:cs="Arial"/>
          <w:color w:val="1A1A1A"/>
          <w:sz w:val="24"/>
          <w:szCs w:val="24"/>
          <w:lang w:eastAsia="en-US"/>
        </w:rPr>
        <w:t xml:space="preserve"> by 22</w:t>
      </w:r>
      <w:r w:rsidR="008526CD">
        <w:rPr>
          <w:rFonts w:eastAsia="Calibri" w:cs="Arial"/>
          <w:color w:val="1A1A1A"/>
          <w:sz w:val="24"/>
          <w:szCs w:val="24"/>
          <w:lang w:eastAsia="en-US"/>
        </w:rPr>
        <w:t>,</w:t>
      </w:r>
      <w:r w:rsidRPr="002D3BFD">
        <w:rPr>
          <w:rFonts w:eastAsia="Calibri" w:cs="Arial"/>
          <w:color w:val="1A1A1A"/>
          <w:sz w:val="24"/>
          <w:szCs w:val="24"/>
          <w:lang w:eastAsia="en-US"/>
        </w:rPr>
        <w:t>2% in the first quarter of 2017. The growth of the Agriculture, Forestry and Fisheries in the first quarter of 2017 was attributed mainly to increase in the production of field crops and horticulture production following a good rainy season</w:t>
      </w:r>
      <w:r w:rsidR="00D413D3">
        <w:rPr>
          <w:rFonts w:eastAsia="Calibri" w:cs="Arial"/>
          <w:color w:val="1A1A1A"/>
          <w:sz w:val="24"/>
          <w:szCs w:val="24"/>
          <w:lang w:eastAsia="en-US"/>
        </w:rPr>
        <w:t xml:space="preserve"> see Figure </w:t>
      </w:r>
      <w:proofErr w:type="gramStart"/>
      <w:r w:rsidR="00D413D3">
        <w:rPr>
          <w:rFonts w:eastAsia="Calibri" w:cs="Arial"/>
          <w:color w:val="1A1A1A"/>
          <w:sz w:val="24"/>
          <w:szCs w:val="24"/>
          <w:lang w:eastAsia="en-US"/>
        </w:rPr>
        <w:t xml:space="preserve">6 </w:t>
      </w:r>
      <w:r w:rsidRPr="002D3BFD">
        <w:rPr>
          <w:rFonts w:eastAsia="Calibri" w:cs="Arial"/>
          <w:color w:val="1A1A1A"/>
          <w:sz w:val="24"/>
          <w:szCs w:val="24"/>
          <w:lang w:eastAsia="en-US"/>
        </w:rPr>
        <w:t>.</w:t>
      </w:r>
      <w:proofErr w:type="gramEnd"/>
      <w:r w:rsidRPr="002D3BFD">
        <w:rPr>
          <w:rFonts w:eastAsia="Calibri" w:cs="Arial"/>
          <w:color w:val="1A1A1A"/>
          <w:sz w:val="24"/>
          <w:szCs w:val="24"/>
          <w:lang w:eastAsia="en-US"/>
        </w:rPr>
        <w:t xml:space="preserve"> In the wake of a technical recession, economists are calling for the South African Reserve Bank to cut the interest rates to help alleviate the pressure.  According to Anabel Bishop, Chief Economist at Investec, consumers are financially heavily constrained. An interest rate cut of even a 25 basis point easing, would be welcomed as many consumers are very vulnerable financially.</w:t>
      </w:r>
    </w:p>
    <w:p w:rsidR="007A3AE2" w:rsidRPr="007A3AE2" w:rsidRDefault="007A3AE2" w:rsidP="002D3BFD">
      <w:pPr>
        <w:spacing w:after="0" w:line="240" w:lineRule="auto"/>
        <w:rPr>
          <w:rFonts w:ascii="Calibri" w:eastAsia="Calibri" w:hAnsi="Calibri" w:cs="Times New Roman"/>
          <w:color w:val="00B050"/>
          <w:lang w:eastAsia="en-US"/>
        </w:rPr>
      </w:pPr>
      <w:r w:rsidRPr="006329E6">
        <w:rPr>
          <w:rFonts w:ascii="Calibri" w:eastAsia="Calibri" w:hAnsi="Calibri" w:cs="Times New Roman"/>
          <w:noProof/>
          <w:shd w:val="clear" w:color="auto" w:fill="FFFFFF" w:themeFill="background1"/>
        </w:rPr>
        <w:drawing>
          <wp:inline distT="0" distB="0" distL="0" distR="0" wp14:anchorId="3B382778" wp14:editId="744EE7DA">
            <wp:extent cx="5731510" cy="2635781"/>
            <wp:effectExtent l="0" t="0" r="21590" b="1270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B57CC9">
        <w:rPr>
          <w:rStyle w:val="Heading3Char"/>
          <w:b/>
        </w:rPr>
        <w:t>Figure 5:</w:t>
      </w:r>
      <w:r w:rsidRPr="00B57CC9">
        <w:rPr>
          <w:rStyle w:val="Heading3Char"/>
        </w:rPr>
        <w:t xml:space="preserve"> Domestic real GDP growth</w:t>
      </w:r>
      <w:r w:rsidRPr="002D3BFD">
        <w:rPr>
          <w:rStyle w:val="Heading3Char"/>
        </w:rPr>
        <w:t xml:space="preserve"> </w:t>
      </w:r>
      <w:r w:rsidRPr="002D3BFD">
        <w:rPr>
          <w:rStyle w:val="Heading3Char"/>
        </w:rPr>
        <w:br/>
      </w:r>
      <w:r w:rsidR="00C65E2F" w:rsidRPr="009437BF">
        <w:rPr>
          <w:rFonts w:cs="Arial"/>
          <w:szCs w:val="18"/>
        </w:rPr>
        <w:t>S</w:t>
      </w:r>
      <w:r w:rsidRPr="009437BF">
        <w:rPr>
          <w:rFonts w:cs="Arial"/>
          <w:szCs w:val="18"/>
        </w:rPr>
        <w:t>ource: Stats SA</w:t>
      </w:r>
    </w:p>
    <w:p w:rsidR="007A3AE2" w:rsidRPr="007A3AE2" w:rsidRDefault="007A3AE2" w:rsidP="007A3AE2">
      <w:pPr>
        <w:rPr>
          <w:rFonts w:ascii="Calibri" w:eastAsia="Calibri" w:hAnsi="Calibri" w:cs="Times New Roman"/>
          <w:color w:val="00B050"/>
          <w:lang w:eastAsia="en-US"/>
        </w:rPr>
      </w:pPr>
      <w:r w:rsidRPr="007A3AE2">
        <w:rPr>
          <w:rFonts w:ascii="Calibri" w:eastAsia="Calibri" w:hAnsi="Calibri" w:cs="Times New Roman"/>
          <w:noProof/>
          <w:color w:val="00B050"/>
        </w:rPr>
        <w:t xml:space="preserve"> </w:t>
      </w:r>
    </w:p>
    <w:p w:rsidR="007A3AE2" w:rsidRPr="00EA37A6" w:rsidRDefault="007A3AE2" w:rsidP="002D3BFD">
      <w:pPr>
        <w:spacing w:after="0" w:line="240" w:lineRule="auto"/>
        <w:jc w:val="both"/>
        <w:rPr>
          <w:rFonts w:eastAsia="Times New Roman" w:cs="Arial"/>
          <w:b/>
          <w:szCs w:val="18"/>
          <w:lang w:val="en-GB" w:eastAsia="en-US"/>
        </w:rPr>
      </w:pPr>
      <w:r w:rsidRPr="00EA37A6">
        <w:rPr>
          <w:rFonts w:ascii="Calibri" w:eastAsia="Calibri" w:hAnsi="Calibri" w:cs="Times New Roman"/>
          <w:noProof/>
          <w:szCs w:val="18"/>
        </w:rPr>
        <w:drawing>
          <wp:inline distT="0" distB="0" distL="0" distR="0" wp14:anchorId="12219E6B" wp14:editId="2EC72AE4">
            <wp:extent cx="5608320" cy="2773680"/>
            <wp:effectExtent l="0" t="0" r="11430" b="26670"/>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A3AE2" w:rsidRPr="00EA37A6" w:rsidRDefault="007A3AE2" w:rsidP="002D3BFD">
      <w:pPr>
        <w:pStyle w:val="Heading3"/>
        <w:spacing w:before="0" w:line="240" w:lineRule="auto"/>
        <w:rPr>
          <w:rFonts w:eastAsia="Times New Roman"/>
          <w:color w:val="FF0000"/>
          <w:lang w:val="en-GB" w:eastAsia="en-US"/>
        </w:rPr>
      </w:pPr>
      <w:bookmarkStart w:id="80" w:name="_Toc489345743"/>
      <w:bookmarkStart w:id="81" w:name="_Toc489345948"/>
      <w:bookmarkStart w:id="82" w:name="_Toc489537705"/>
      <w:r w:rsidRPr="00EA37A6">
        <w:rPr>
          <w:rFonts w:eastAsia="Times New Roman"/>
          <w:b/>
          <w:lang w:val="en-GB" w:eastAsia="en-US"/>
        </w:rPr>
        <w:t xml:space="preserve">Figure 6: </w:t>
      </w:r>
      <w:r w:rsidRPr="00EA37A6">
        <w:rPr>
          <w:rFonts w:eastAsia="Times New Roman"/>
          <w:lang w:val="en-GB" w:eastAsia="en-US"/>
        </w:rPr>
        <w:t>Agriculture, forestry and fishing sector growth rates</w:t>
      </w:r>
      <w:bookmarkEnd w:id="80"/>
      <w:bookmarkEnd w:id="81"/>
      <w:bookmarkEnd w:id="82"/>
      <w:r w:rsidRPr="00EA37A6">
        <w:rPr>
          <w:rFonts w:eastAsia="Times New Roman"/>
          <w:lang w:val="en-GB" w:eastAsia="en-US"/>
        </w:rPr>
        <w:t xml:space="preserve"> </w:t>
      </w:r>
    </w:p>
    <w:p w:rsidR="007A3AE2" w:rsidRPr="00EA37A6" w:rsidRDefault="007A3AE2" w:rsidP="002D3BFD">
      <w:pPr>
        <w:spacing w:after="0" w:line="240" w:lineRule="auto"/>
        <w:jc w:val="both"/>
        <w:rPr>
          <w:rFonts w:eastAsia="Times New Roman" w:cs="Arial"/>
          <w:szCs w:val="18"/>
          <w:lang w:val="en-GB" w:eastAsia="en-US"/>
        </w:rPr>
      </w:pPr>
      <w:r w:rsidRPr="00EA37A6">
        <w:rPr>
          <w:rFonts w:eastAsia="Times New Roman" w:cs="Arial"/>
          <w:szCs w:val="18"/>
          <w:lang w:val="en-GB" w:eastAsia="en-US"/>
        </w:rPr>
        <w:t>Source: Stats SA</w:t>
      </w:r>
    </w:p>
    <w:p w:rsidR="00C939D5" w:rsidRDefault="00C939D5" w:rsidP="002D3BFD">
      <w:pPr>
        <w:pStyle w:val="Heading2"/>
        <w:spacing w:line="360" w:lineRule="auto"/>
        <w:rPr>
          <w:rFonts w:eastAsia="Times New Roman"/>
          <w:lang w:val="en-GB"/>
        </w:rPr>
      </w:pPr>
      <w:bookmarkStart w:id="83" w:name="_Toc489345744"/>
      <w:bookmarkStart w:id="84" w:name="_Toc489345949"/>
      <w:bookmarkStart w:id="85" w:name="_Toc489537706"/>
      <w:r w:rsidRPr="009F08C4">
        <w:rPr>
          <w:rFonts w:eastAsia="Times New Roman"/>
          <w:lang w:val="en-GB"/>
        </w:rPr>
        <w:t>2.2 Inflation</w:t>
      </w:r>
      <w:bookmarkEnd w:id="83"/>
      <w:bookmarkEnd w:id="84"/>
      <w:bookmarkEnd w:id="85"/>
    </w:p>
    <w:p w:rsidR="007A3AE2" w:rsidRPr="007A3AE2" w:rsidRDefault="007A3AE2" w:rsidP="002D3BFD">
      <w:pPr>
        <w:spacing w:line="360" w:lineRule="auto"/>
        <w:jc w:val="both"/>
        <w:rPr>
          <w:rFonts w:eastAsia="Calibri" w:cs="Arial"/>
          <w:sz w:val="24"/>
          <w:szCs w:val="24"/>
        </w:rPr>
      </w:pPr>
      <w:r w:rsidRPr="007A3AE2">
        <w:rPr>
          <w:rFonts w:eastAsia="Calibri" w:cs="Arial"/>
          <w:sz w:val="24"/>
          <w:szCs w:val="24"/>
        </w:rPr>
        <w:t xml:space="preserve">Figure 7 shows South Africa’s annual headline CPI and the food inflation from the first quarter </w:t>
      </w:r>
      <w:r w:rsidR="008526CD">
        <w:rPr>
          <w:rFonts w:eastAsia="Calibri" w:cs="Arial"/>
          <w:sz w:val="24"/>
          <w:szCs w:val="24"/>
        </w:rPr>
        <w:t xml:space="preserve">of </w:t>
      </w:r>
      <w:r w:rsidRPr="007A3AE2">
        <w:rPr>
          <w:rFonts w:eastAsia="Calibri" w:cs="Arial"/>
          <w:sz w:val="24"/>
          <w:szCs w:val="24"/>
        </w:rPr>
        <w:t>2016 to the first quarter of 2017. The annual average headline CPI for the first quarter of 2017 is estimated at 6</w:t>
      </w:r>
      <w:proofErr w:type="gramStart"/>
      <w:r w:rsidR="008526CD">
        <w:rPr>
          <w:rFonts w:eastAsia="Calibri" w:cs="Arial"/>
          <w:sz w:val="24"/>
          <w:szCs w:val="24"/>
        </w:rPr>
        <w:t>,</w:t>
      </w:r>
      <w:r w:rsidRPr="007A3AE2">
        <w:rPr>
          <w:rFonts w:eastAsia="Calibri" w:cs="Arial"/>
          <w:sz w:val="24"/>
          <w:szCs w:val="24"/>
        </w:rPr>
        <w:t>3</w:t>
      </w:r>
      <w:proofErr w:type="gramEnd"/>
      <w:r w:rsidRPr="007A3AE2">
        <w:rPr>
          <w:rFonts w:eastAsia="Calibri" w:cs="Arial"/>
          <w:sz w:val="24"/>
          <w:szCs w:val="24"/>
        </w:rPr>
        <w:t>% lower compared to 6,6% growth in the fourth quarter of 2016. Food inflation was 10</w:t>
      </w:r>
      <w:proofErr w:type="gramStart"/>
      <w:r w:rsidR="008526CD">
        <w:rPr>
          <w:rFonts w:eastAsia="Calibri" w:cs="Arial"/>
          <w:sz w:val="24"/>
          <w:szCs w:val="24"/>
        </w:rPr>
        <w:t>,</w:t>
      </w:r>
      <w:r w:rsidRPr="007A3AE2">
        <w:rPr>
          <w:rFonts w:eastAsia="Calibri" w:cs="Arial"/>
          <w:sz w:val="24"/>
          <w:szCs w:val="24"/>
        </w:rPr>
        <w:t>2</w:t>
      </w:r>
      <w:proofErr w:type="gramEnd"/>
      <w:r w:rsidRPr="007A3AE2">
        <w:rPr>
          <w:rFonts w:eastAsia="Calibri" w:cs="Arial"/>
          <w:sz w:val="24"/>
          <w:szCs w:val="24"/>
        </w:rPr>
        <w:t>% in the first quarter of 2017 which is 13</w:t>
      </w:r>
      <w:r w:rsidR="008526CD">
        <w:rPr>
          <w:rFonts w:eastAsia="Calibri" w:cs="Arial"/>
          <w:sz w:val="24"/>
          <w:szCs w:val="24"/>
        </w:rPr>
        <w:t>,</w:t>
      </w:r>
      <w:r w:rsidRPr="007A3AE2">
        <w:rPr>
          <w:rFonts w:eastAsia="Calibri" w:cs="Arial"/>
          <w:sz w:val="24"/>
          <w:szCs w:val="24"/>
        </w:rPr>
        <w:t>6% lower than 11</w:t>
      </w:r>
      <w:r w:rsidR="008526CD">
        <w:rPr>
          <w:rFonts w:eastAsia="Calibri" w:cs="Arial"/>
          <w:sz w:val="24"/>
          <w:szCs w:val="24"/>
        </w:rPr>
        <w:t>,</w:t>
      </w:r>
      <w:r w:rsidRPr="007A3AE2">
        <w:rPr>
          <w:rFonts w:eastAsia="Calibri" w:cs="Arial"/>
          <w:sz w:val="24"/>
          <w:szCs w:val="24"/>
        </w:rPr>
        <w:t>8% in the fourth quarter of 2016. This is good news to cash strapped consumers who spent half their income on food. The annual consumer price inflation for March 2017 was 6</w:t>
      </w:r>
      <w:proofErr w:type="gramStart"/>
      <w:r w:rsidR="008526CD">
        <w:rPr>
          <w:rFonts w:eastAsia="Calibri" w:cs="Arial"/>
          <w:sz w:val="24"/>
          <w:szCs w:val="24"/>
        </w:rPr>
        <w:t>,</w:t>
      </w:r>
      <w:r w:rsidRPr="007A3AE2">
        <w:rPr>
          <w:rFonts w:eastAsia="Calibri" w:cs="Arial"/>
          <w:sz w:val="24"/>
          <w:szCs w:val="24"/>
        </w:rPr>
        <w:t>1</w:t>
      </w:r>
      <w:proofErr w:type="gramEnd"/>
      <w:r w:rsidRPr="007A3AE2">
        <w:rPr>
          <w:rFonts w:eastAsia="Calibri" w:cs="Arial"/>
          <w:sz w:val="24"/>
          <w:szCs w:val="24"/>
        </w:rPr>
        <w:t>%, lower compared to 6</w:t>
      </w:r>
      <w:r w:rsidR="008526CD">
        <w:rPr>
          <w:rFonts w:eastAsia="Calibri" w:cs="Arial"/>
          <w:sz w:val="24"/>
          <w:szCs w:val="24"/>
        </w:rPr>
        <w:t>,</w:t>
      </w:r>
      <w:r w:rsidRPr="007A3AE2">
        <w:rPr>
          <w:rFonts w:eastAsia="Calibri" w:cs="Arial"/>
          <w:sz w:val="24"/>
          <w:szCs w:val="24"/>
        </w:rPr>
        <w:t>3% in February 2017. The consumer price index increased by 0</w:t>
      </w:r>
      <w:proofErr w:type="gramStart"/>
      <w:r w:rsidR="008526CD">
        <w:rPr>
          <w:rFonts w:eastAsia="Calibri" w:cs="Arial"/>
          <w:sz w:val="24"/>
          <w:szCs w:val="24"/>
        </w:rPr>
        <w:t>,</w:t>
      </w:r>
      <w:r w:rsidRPr="007A3AE2">
        <w:rPr>
          <w:rFonts w:eastAsia="Calibri" w:cs="Arial"/>
          <w:sz w:val="24"/>
          <w:szCs w:val="24"/>
        </w:rPr>
        <w:t>6</w:t>
      </w:r>
      <w:proofErr w:type="gramEnd"/>
      <w:r w:rsidRPr="007A3AE2">
        <w:rPr>
          <w:rFonts w:eastAsia="Calibri" w:cs="Arial"/>
          <w:sz w:val="24"/>
          <w:szCs w:val="24"/>
        </w:rPr>
        <w:t>% month-on-month in March 2017. The main contributors to the headline annual consumer price inflation are food and non-alcoholic beverages, transport, education and miscellaneous goods and services.  Food and non-alcoholic beverages decreased from 1</w:t>
      </w:r>
      <w:r w:rsidR="00D14A22">
        <w:rPr>
          <w:rFonts w:eastAsia="Calibri" w:cs="Arial"/>
          <w:sz w:val="24"/>
          <w:szCs w:val="24"/>
        </w:rPr>
        <w:t>,</w:t>
      </w:r>
      <w:r w:rsidRPr="007A3AE2">
        <w:rPr>
          <w:rFonts w:eastAsia="Calibri" w:cs="Arial"/>
          <w:sz w:val="24"/>
          <w:szCs w:val="24"/>
        </w:rPr>
        <w:t>7% in February to 1</w:t>
      </w:r>
      <w:r w:rsidR="00D14A22">
        <w:rPr>
          <w:rFonts w:eastAsia="Calibri" w:cs="Arial"/>
          <w:sz w:val="24"/>
          <w:szCs w:val="24"/>
        </w:rPr>
        <w:t>,</w:t>
      </w:r>
      <w:r w:rsidRPr="007A3AE2">
        <w:rPr>
          <w:rFonts w:eastAsia="Calibri" w:cs="Arial"/>
          <w:sz w:val="24"/>
          <w:szCs w:val="24"/>
        </w:rPr>
        <w:t>5% in March 2017 while transport, education and miscellaneous goods; and services increased by 1</w:t>
      </w:r>
      <w:r w:rsidR="00D14A22">
        <w:rPr>
          <w:rFonts w:eastAsia="Calibri" w:cs="Arial"/>
          <w:sz w:val="24"/>
          <w:szCs w:val="24"/>
        </w:rPr>
        <w:t>,</w:t>
      </w:r>
      <w:r w:rsidRPr="007A3AE2">
        <w:rPr>
          <w:rFonts w:eastAsia="Calibri" w:cs="Arial"/>
          <w:sz w:val="24"/>
          <w:szCs w:val="24"/>
        </w:rPr>
        <w:t>0%, 0</w:t>
      </w:r>
      <w:r w:rsidR="00D14A22">
        <w:rPr>
          <w:rFonts w:eastAsia="Calibri" w:cs="Arial"/>
          <w:sz w:val="24"/>
          <w:szCs w:val="24"/>
        </w:rPr>
        <w:t>,</w:t>
      </w:r>
      <w:r w:rsidRPr="007A3AE2">
        <w:rPr>
          <w:rFonts w:eastAsia="Calibri" w:cs="Arial"/>
          <w:sz w:val="24"/>
          <w:szCs w:val="24"/>
        </w:rPr>
        <w:t>1%, and 1</w:t>
      </w:r>
      <w:r w:rsidR="00D14A22">
        <w:rPr>
          <w:rFonts w:eastAsia="Calibri" w:cs="Arial"/>
          <w:sz w:val="24"/>
          <w:szCs w:val="24"/>
        </w:rPr>
        <w:t>,</w:t>
      </w:r>
      <w:r w:rsidRPr="007A3AE2">
        <w:rPr>
          <w:rFonts w:eastAsia="Calibri" w:cs="Arial"/>
          <w:sz w:val="24"/>
          <w:szCs w:val="24"/>
        </w:rPr>
        <w:t xml:space="preserve">1% respectively in February to 1.1%, 0.2% and 1.2% respectively in March 2017. </w:t>
      </w:r>
    </w:p>
    <w:p w:rsidR="007A3AE2" w:rsidRDefault="007A3AE2" w:rsidP="007A3AE2">
      <w:pPr>
        <w:spacing w:line="360" w:lineRule="auto"/>
        <w:jc w:val="both"/>
        <w:rPr>
          <w:rFonts w:eastAsia="Calibri" w:cs="Arial"/>
          <w:sz w:val="24"/>
          <w:szCs w:val="24"/>
        </w:rPr>
      </w:pPr>
      <w:r w:rsidRPr="007A3AE2">
        <w:rPr>
          <w:rFonts w:eastAsia="Calibri" w:cs="Arial"/>
          <w:sz w:val="24"/>
          <w:szCs w:val="24"/>
        </w:rPr>
        <w:t xml:space="preserve">The monthly contributors to consumer price inflation are food and non-alcoholic beverages, alcohol beverages and tobacco, housing and utilities and education. Food and non-alcoholic beverages, alcohol beverages and tobacco contributed 0.15% each in </w:t>
      </w:r>
      <w:proofErr w:type="gramStart"/>
      <w:r w:rsidRPr="007A3AE2">
        <w:rPr>
          <w:rFonts w:eastAsia="Calibri" w:cs="Arial"/>
          <w:sz w:val="24"/>
          <w:szCs w:val="24"/>
        </w:rPr>
        <w:t>march</w:t>
      </w:r>
      <w:proofErr w:type="gramEnd"/>
      <w:r w:rsidRPr="007A3AE2">
        <w:rPr>
          <w:rFonts w:eastAsia="Calibri" w:cs="Arial"/>
          <w:sz w:val="24"/>
          <w:szCs w:val="24"/>
        </w:rPr>
        <w:t xml:space="preserve"> 2017 while housing and utilities; and education contributed 0.2% point each in march 2017. </w:t>
      </w:r>
    </w:p>
    <w:p w:rsidR="00C04C03" w:rsidRPr="00510428" w:rsidRDefault="00C04C03" w:rsidP="000A713E">
      <w:pPr>
        <w:spacing w:after="0"/>
        <w:rPr>
          <w:color w:val="00B050"/>
        </w:rPr>
      </w:pPr>
      <w:r w:rsidRPr="00113D6A">
        <w:rPr>
          <w:noProof/>
        </w:rPr>
        <w:drawing>
          <wp:inline distT="0" distB="0" distL="0" distR="0" wp14:anchorId="29C53343" wp14:editId="0D4C614B">
            <wp:extent cx="5497830" cy="2886075"/>
            <wp:effectExtent l="0" t="0" r="26670" b="9525"/>
            <wp:docPr id="164" name="Chart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04C03" w:rsidRPr="00113D6A" w:rsidRDefault="00C04C03" w:rsidP="000A713E">
      <w:pPr>
        <w:pStyle w:val="Heading3"/>
        <w:spacing w:before="0"/>
        <w:rPr>
          <w:rFonts w:eastAsia="Times New Roman"/>
          <w:lang w:val="en-GB"/>
        </w:rPr>
      </w:pPr>
      <w:bookmarkStart w:id="86" w:name="_Toc489345745"/>
      <w:bookmarkStart w:id="87" w:name="_Toc489345950"/>
      <w:bookmarkStart w:id="88" w:name="_Toc489537707"/>
      <w:r w:rsidRPr="00113D6A">
        <w:rPr>
          <w:rFonts w:eastAsia="Times New Roman"/>
          <w:b/>
          <w:lang w:val="en-GB"/>
        </w:rPr>
        <w:t xml:space="preserve">Figure 7: </w:t>
      </w:r>
      <w:r w:rsidRPr="00113D6A">
        <w:rPr>
          <w:rFonts w:eastAsia="Times New Roman"/>
          <w:lang w:val="en-GB"/>
        </w:rPr>
        <w:t>SA headline CPI and CPI for food</w:t>
      </w:r>
      <w:bookmarkEnd w:id="86"/>
      <w:bookmarkEnd w:id="87"/>
      <w:bookmarkEnd w:id="88"/>
    </w:p>
    <w:p w:rsidR="00C04C03" w:rsidRPr="00113D6A" w:rsidRDefault="00C04C03" w:rsidP="00C04C03">
      <w:pPr>
        <w:spacing w:after="0" w:line="360" w:lineRule="auto"/>
        <w:jc w:val="both"/>
        <w:rPr>
          <w:rFonts w:eastAsia="Times New Roman" w:cs="Arial"/>
          <w:szCs w:val="18"/>
          <w:lang w:val="en-GB"/>
        </w:rPr>
      </w:pPr>
      <w:r w:rsidRPr="00113D6A">
        <w:rPr>
          <w:rFonts w:eastAsia="Times New Roman" w:cs="Arial"/>
          <w:szCs w:val="18"/>
          <w:lang w:val="en-GB"/>
        </w:rPr>
        <w:t>Source: Stats SA</w:t>
      </w:r>
    </w:p>
    <w:p w:rsidR="009437BF" w:rsidRDefault="009437BF" w:rsidP="007A3AE2">
      <w:pPr>
        <w:spacing w:after="0" w:line="360" w:lineRule="auto"/>
        <w:jc w:val="both"/>
        <w:rPr>
          <w:rFonts w:eastAsia="Times New Roman" w:cs="Arial"/>
          <w:sz w:val="24"/>
          <w:szCs w:val="24"/>
        </w:rPr>
      </w:pPr>
    </w:p>
    <w:p w:rsidR="007A3AE2" w:rsidRPr="007A3AE2" w:rsidRDefault="007A3AE2" w:rsidP="007A3AE2">
      <w:pPr>
        <w:spacing w:after="0" w:line="360" w:lineRule="auto"/>
        <w:jc w:val="both"/>
        <w:rPr>
          <w:rFonts w:eastAsia="Times New Roman" w:cs="Arial"/>
          <w:sz w:val="24"/>
          <w:szCs w:val="24"/>
        </w:rPr>
      </w:pPr>
      <w:r w:rsidRPr="007A3AE2">
        <w:rPr>
          <w:rFonts w:eastAsia="Times New Roman" w:cs="Arial"/>
          <w:sz w:val="24"/>
          <w:szCs w:val="24"/>
        </w:rPr>
        <w:t xml:space="preserve">Figure 8 illustrates consumer trends of selected food items from the first quarter of </w:t>
      </w:r>
      <w:r w:rsidR="000752FD" w:rsidRPr="007A3AE2">
        <w:rPr>
          <w:rFonts w:eastAsia="Times New Roman" w:cs="Arial"/>
          <w:sz w:val="24"/>
          <w:szCs w:val="24"/>
        </w:rPr>
        <w:t>201</w:t>
      </w:r>
      <w:r w:rsidR="000752FD">
        <w:rPr>
          <w:rFonts w:eastAsia="Times New Roman" w:cs="Arial"/>
          <w:sz w:val="24"/>
          <w:szCs w:val="24"/>
        </w:rPr>
        <w:t>5</w:t>
      </w:r>
      <w:r w:rsidR="000752FD" w:rsidRPr="007A3AE2">
        <w:rPr>
          <w:rFonts w:eastAsia="Times New Roman" w:cs="Arial"/>
          <w:sz w:val="24"/>
          <w:szCs w:val="24"/>
        </w:rPr>
        <w:t xml:space="preserve"> </w:t>
      </w:r>
      <w:r w:rsidRPr="007A3AE2">
        <w:rPr>
          <w:rFonts w:eastAsia="Times New Roman" w:cs="Arial"/>
          <w:sz w:val="24"/>
          <w:szCs w:val="24"/>
        </w:rPr>
        <w:t xml:space="preserve">to the first quarter of 2017. As can be observed from </w:t>
      </w:r>
      <w:r w:rsidR="000673B6">
        <w:rPr>
          <w:rFonts w:eastAsia="Times New Roman" w:cs="Arial"/>
          <w:sz w:val="24"/>
          <w:szCs w:val="24"/>
        </w:rPr>
        <w:t>F</w:t>
      </w:r>
      <w:r w:rsidRPr="007A3AE2">
        <w:rPr>
          <w:rFonts w:eastAsia="Times New Roman" w:cs="Arial"/>
          <w:sz w:val="24"/>
          <w:szCs w:val="24"/>
        </w:rPr>
        <w:t xml:space="preserve">igure 7, food inflation for selected food items has been declining since the last quarter of </w:t>
      </w:r>
      <w:proofErr w:type="gramStart"/>
      <w:r w:rsidRPr="007A3AE2">
        <w:rPr>
          <w:rFonts w:eastAsia="Times New Roman" w:cs="Arial"/>
          <w:sz w:val="24"/>
          <w:szCs w:val="24"/>
        </w:rPr>
        <w:t>2016  with</w:t>
      </w:r>
      <w:proofErr w:type="gramEnd"/>
      <w:r w:rsidRPr="007A3AE2">
        <w:rPr>
          <w:rFonts w:eastAsia="Times New Roman" w:cs="Arial"/>
          <w:sz w:val="24"/>
          <w:szCs w:val="24"/>
        </w:rPr>
        <w:t xml:space="preserve"> exception of meat. The decline in food inflation implies that consumers will have more money in their possession to buy more food items. The a</w:t>
      </w:r>
      <w:r w:rsidRPr="007A3AE2">
        <w:rPr>
          <w:rFonts w:eastAsia="Calibri" w:cs="Arial"/>
          <w:sz w:val="24"/>
          <w:szCs w:val="24"/>
        </w:rPr>
        <w:t>nnual average CPI for food over 12 month period (March 2016</w:t>
      </w:r>
      <w:r w:rsidR="000673B6">
        <w:rPr>
          <w:rFonts w:eastAsia="Calibri" w:cs="Arial"/>
          <w:sz w:val="24"/>
          <w:szCs w:val="24"/>
        </w:rPr>
        <w:t xml:space="preserve"> to </w:t>
      </w:r>
      <w:r w:rsidRPr="007A3AE2">
        <w:rPr>
          <w:rFonts w:eastAsia="Calibri" w:cs="Arial"/>
          <w:sz w:val="24"/>
          <w:szCs w:val="24"/>
        </w:rPr>
        <w:t>March 2017) is estimated at 11%, while the CPI for food in March 2017 is estimated at 8</w:t>
      </w:r>
      <w:r w:rsidR="000673B6">
        <w:rPr>
          <w:rFonts w:eastAsia="Calibri" w:cs="Arial"/>
          <w:sz w:val="24"/>
          <w:szCs w:val="24"/>
        </w:rPr>
        <w:t>,</w:t>
      </w:r>
      <w:r w:rsidRPr="007A3AE2">
        <w:rPr>
          <w:rFonts w:eastAsia="Calibri" w:cs="Arial"/>
          <w:sz w:val="24"/>
          <w:szCs w:val="24"/>
        </w:rPr>
        <w:t>7%. On a month-on-month, CPI for food decreased by 13% in March 2017.</w:t>
      </w:r>
      <w:r w:rsidRPr="007A3AE2">
        <w:rPr>
          <w:rFonts w:eastAsia="Times New Roman" w:cs="Arial"/>
          <w:sz w:val="24"/>
          <w:szCs w:val="24"/>
        </w:rPr>
        <w:t xml:space="preserve"> The CPI for food averaged 10</w:t>
      </w:r>
      <w:proofErr w:type="gramStart"/>
      <w:r w:rsidR="000673B6">
        <w:rPr>
          <w:rFonts w:eastAsia="Times New Roman" w:cs="Arial"/>
          <w:sz w:val="24"/>
          <w:szCs w:val="24"/>
        </w:rPr>
        <w:t>,</w:t>
      </w:r>
      <w:r w:rsidRPr="007A3AE2">
        <w:rPr>
          <w:rFonts w:eastAsia="Times New Roman" w:cs="Arial"/>
          <w:sz w:val="24"/>
          <w:szCs w:val="24"/>
        </w:rPr>
        <w:t>2</w:t>
      </w:r>
      <w:proofErr w:type="gramEnd"/>
      <w:r w:rsidRPr="007A3AE2">
        <w:rPr>
          <w:rFonts w:eastAsia="Times New Roman" w:cs="Arial"/>
          <w:sz w:val="24"/>
          <w:szCs w:val="24"/>
        </w:rPr>
        <w:t>% in the first quarter of 2017 from a 11</w:t>
      </w:r>
      <w:r w:rsidR="000673B6">
        <w:rPr>
          <w:rFonts w:eastAsia="Times New Roman" w:cs="Arial"/>
          <w:sz w:val="24"/>
          <w:szCs w:val="24"/>
        </w:rPr>
        <w:t>,</w:t>
      </w:r>
      <w:r w:rsidRPr="007A3AE2">
        <w:rPr>
          <w:rFonts w:eastAsia="Times New Roman" w:cs="Arial"/>
          <w:sz w:val="24"/>
          <w:szCs w:val="24"/>
        </w:rPr>
        <w:t>8% in the fourth quarter of 2016. The implication is that consumers paid more for food in the fourth quarter of 2016 than the first quarter of 2017 by 13</w:t>
      </w:r>
      <w:proofErr w:type="gramStart"/>
      <w:r w:rsidR="000673B6">
        <w:rPr>
          <w:rFonts w:eastAsia="Times New Roman" w:cs="Arial"/>
          <w:sz w:val="24"/>
          <w:szCs w:val="24"/>
        </w:rPr>
        <w:t>,</w:t>
      </w:r>
      <w:r w:rsidRPr="007A3AE2">
        <w:rPr>
          <w:rFonts w:eastAsia="Times New Roman" w:cs="Arial"/>
          <w:sz w:val="24"/>
          <w:szCs w:val="24"/>
        </w:rPr>
        <w:t>56</w:t>
      </w:r>
      <w:proofErr w:type="gramEnd"/>
      <w:r w:rsidRPr="007A3AE2">
        <w:rPr>
          <w:rFonts w:eastAsia="Times New Roman" w:cs="Arial"/>
          <w:sz w:val="24"/>
          <w:szCs w:val="24"/>
        </w:rPr>
        <w:t>%.</w:t>
      </w:r>
    </w:p>
    <w:p w:rsidR="007A3AE2" w:rsidRPr="007A3AE2" w:rsidRDefault="007A3AE2" w:rsidP="007A3AE2">
      <w:pPr>
        <w:spacing w:after="0" w:line="360" w:lineRule="auto"/>
        <w:jc w:val="both"/>
        <w:rPr>
          <w:rFonts w:eastAsia="Times New Roman" w:cs="Arial"/>
          <w:sz w:val="24"/>
          <w:szCs w:val="24"/>
        </w:rPr>
      </w:pPr>
    </w:p>
    <w:p w:rsidR="007A3AE2" w:rsidRPr="007A3AE2" w:rsidRDefault="007A3AE2" w:rsidP="007A3AE2">
      <w:pPr>
        <w:spacing w:after="0" w:line="360" w:lineRule="auto"/>
        <w:jc w:val="both"/>
        <w:rPr>
          <w:rFonts w:eastAsia="Times New Roman" w:cs="Arial"/>
          <w:sz w:val="24"/>
          <w:szCs w:val="24"/>
        </w:rPr>
      </w:pPr>
      <w:r w:rsidRPr="007A3AE2">
        <w:rPr>
          <w:rFonts w:eastAsia="Times New Roman" w:cs="Arial"/>
          <w:sz w:val="24"/>
          <w:szCs w:val="24"/>
        </w:rPr>
        <w:t>Data for selected food items revealed that the CPI for meat, fish and milk, eggs and cheese were higher compared to other food items. On a quarterly basis, the CPI for meat were the most expensive, followed by fish and milk, eggs and cheese, which rose 54</w:t>
      </w:r>
      <w:r w:rsidR="000673B6">
        <w:rPr>
          <w:rFonts w:eastAsia="Times New Roman" w:cs="Arial"/>
          <w:sz w:val="24"/>
          <w:szCs w:val="24"/>
        </w:rPr>
        <w:t>,</w:t>
      </w:r>
      <w:r w:rsidRPr="007A3AE2">
        <w:rPr>
          <w:rFonts w:eastAsia="Times New Roman" w:cs="Arial"/>
          <w:sz w:val="24"/>
          <w:szCs w:val="24"/>
        </w:rPr>
        <w:t>26%, 5</w:t>
      </w:r>
      <w:r w:rsidR="000673B6">
        <w:rPr>
          <w:rFonts w:eastAsia="Times New Roman" w:cs="Arial"/>
          <w:sz w:val="24"/>
          <w:szCs w:val="24"/>
        </w:rPr>
        <w:t>,</w:t>
      </w:r>
      <w:r w:rsidRPr="007A3AE2">
        <w:rPr>
          <w:rFonts w:eastAsia="Times New Roman" w:cs="Arial"/>
          <w:sz w:val="24"/>
          <w:szCs w:val="24"/>
        </w:rPr>
        <w:t>86% and 0</w:t>
      </w:r>
      <w:r w:rsidR="000673B6">
        <w:rPr>
          <w:rFonts w:eastAsia="Times New Roman" w:cs="Arial"/>
          <w:sz w:val="24"/>
          <w:szCs w:val="24"/>
        </w:rPr>
        <w:t>,</w:t>
      </w:r>
      <w:r w:rsidRPr="007A3AE2">
        <w:rPr>
          <w:rFonts w:eastAsia="Times New Roman" w:cs="Arial"/>
          <w:sz w:val="24"/>
          <w:szCs w:val="24"/>
        </w:rPr>
        <w:t>39% respectively between fourth quarter of 2016 and first quarter of 2017. The CPI for vegetables, fruits, oil and fats; and bread and cereals decreased by 88%, 61</w:t>
      </w:r>
      <w:r w:rsidR="000673B6">
        <w:rPr>
          <w:rFonts w:eastAsia="Times New Roman" w:cs="Arial"/>
          <w:sz w:val="24"/>
          <w:szCs w:val="24"/>
        </w:rPr>
        <w:t>,</w:t>
      </w:r>
      <w:r w:rsidRPr="007A3AE2">
        <w:rPr>
          <w:rFonts w:eastAsia="Times New Roman" w:cs="Arial"/>
          <w:sz w:val="24"/>
          <w:szCs w:val="24"/>
        </w:rPr>
        <w:t>1%, 62</w:t>
      </w:r>
      <w:r w:rsidR="000673B6">
        <w:rPr>
          <w:rFonts w:eastAsia="Times New Roman" w:cs="Arial"/>
          <w:sz w:val="24"/>
          <w:szCs w:val="24"/>
        </w:rPr>
        <w:t>,</w:t>
      </w:r>
      <w:r w:rsidRPr="007A3AE2">
        <w:rPr>
          <w:rFonts w:eastAsia="Times New Roman" w:cs="Arial"/>
          <w:sz w:val="24"/>
          <w:szCs w:val="24"/>
        </w:rPr>
        <w:t>4 and 24</w:t>
      </w:r>
      <w:r w:rsidR="000673B6">
        <w:rPr>
          <w:rFonts w:eastAsia="Times New Roman" w:cs="Arial"/>
          <w:sz w:val="24"/>
          <w:szCs w:val="24"/>
        </w:rPr>
        <w:t>,</w:t>
      </w:r>
      <w:r w:rsidRPr="007A3AE2">
        <w:rPr>
          <w:rFonts w:eastAsia="Times New Roman" w:cs="Arial"/>
          <w:sz w:val="24"/>
          <w:szCs w:val="24"/>
        </w:rPr>
        <w:t>9% between the fourth quarter of 2016 and the first quarter of 2017. The month-on-month CPI of the selected food items shows an interesting picture. The CPI for all selected food items have declined. The CPI for vegetables, fruits, oil and fats; bread and cereals, fish and milk, eggs and cheese decreased significantly by 100%, 58</w:t>
      </w:r>
      <w:r w:rsidR="000673B6">
        <w:rPr>
          <w:rFonts w:eastAsia="Times New Roman" w:cs="Arial"/>
          <w:sz w:val="24"/>
          <w:szCs w:val="24"/>
        </w:rPr>
        <w:t>,</w:t>
      </w:r>
      <w:r w:rsidRPr="007A3AE2">
        <w:rPr>
          <w:rFonts w:eastAsia="Times New Roman" w:cs="Arial"/>
          <w:sz w:val="24"/>
          <w:szCs w:val="24"/>
        </w:rPr>
        <w:t>92%, 61</w:t>
      </w:r>
      <w:r w:rsidR="000673B6">
        <w:rPr>
          <w:rFonts w:eastAsia="Times New Roman" w:cs="Arial"/>
          <w:sz w:val="24"/>
          <w:szCs w:val="24"/>
        </w:rPr>
        <w:t>,</w:t>
      </w:r>
      <w:r w:rsidRPr="007A3AE2">
        <w:rPr>
          <w:rFonts w:eastAsia="Times New Roman" w:cs="Arial"/>
          <w:sz w:val="24"/>
          <w:szCs w:val="24"/>
        </w:rPr>
        <w:t>22%, 33</w:t>
      </w:r>
      <w:r w:rsidR="000673B6">
        <w:rPr>
          <w:rFonts w:eastAsia="Times New Roman" w:cs="Arial"/>
          <w:sz w:val="24"/>
          <w:szCs w:val="24"/>
        </w:rPr>
        <w:t>,</w:t>
      </w:r>
      <w:r w:rsidRPr="007A3AE2">
        <w:rPr>
          <w:rFonts w:eastAsia="Times New Roman" w:cs="Arial"/>
          <w:sz w:val="24"/>
          <w:szCs w:val="24"/>
        </w:rPr>
        <w:t>59%, 1</w:t>
      </w:r>
      <w:r w:rsidR="000673B6">
        <w:rPr>
          <w:rFonts w:eastAsia="Times New Roman" w:cs="Arial"/>
          <w:sz w:val="24"/>
          <w:szCs w:val="24"/>
        </w:rPr>
        <w:t>,</w:t>
      </w:r>
      <w:r w:rsidRPr="007A3AE2">
        <w:rPr>
          <w:rFonts w:eastAsia="Times New Roman" w:cs="Arial"/>
          <w:sz w:val="24"/>
          <w:szCs w:val="24"/>
        </w:rPr>
        <w:t>87%, and 14</w:t>
      </w:r>
      <w:r w:rsidR="000673B6">
        <w:rPr>
          <w:rFonts w:eastAsia="Times New Roman" w:cs="Arial"/>
          <w:sz w:val="24"/>
          <w:szCs w:val="24"/>
        </w:rPr>
        <w:t>,</w:t>
      </w:r>
      <w:r w:rsidRPr="007A3AE2">
        <w:rPr>
          <w:rFonts w:eastAsia="Times New Roman" w:cs="Arial"/>
          <w:sz w:val="24"/>
          <w:szCs w:val="24"/>
        </w:rPr>
        <w:t xml:space="preserve">81% respectively whilst the CPI for meat remained unchanged. </w:t>
      </w:r>
    </w:p>
    <w:p w:rsidR="007A3AE2" w:rsidRPr="007A3AE2" w:rsidRDefault="007A3AE2" w:rsidP="007A3AE2">
      <w:pPr>
        <w:spacing w:after="0" w:line="360" w:lineRule="auto"/>
        <w:jc w:val="both"/>
        <w:rPr>
          <w:rFonts w:eastAsia="Times New Roman" w:cs="Arial"/>
          <w:sz w:val="24"/>
          <w:szCs w:val="24"/>
        </w:rPr>
      </w:pPr>
    </w:p>
    <w:p w:rsidR="007A3AE2" w:rsidRPr="00EA37A6" w:rsidRDefault="007A3AE2" w:rsidP="000A713E">
      <w:pPr>
        <w:spacing w:after="0"/>
        <w:rPr>
          <w:rFonts w:ascii="Calibri" w:eastAsia="Calibri" w:hAnsi="Calibri" w:cs="Times New Roman"/>
          <w:color w:val="00B050"/>
          <w:szCs w:val="18"/>
          <w:lang w:eastAsia="en-US"/>
        </w:rPr>
      </w:pPr>
      <w:r w:rsidRPr="00EA37A6">
        <w:rPr>
          <w:rFonts w:ascii="Calibri" w:eastAsia="Calibri" w:hAnsi="Calibri" w:cs="Times New Roman"/>
          <w:noProof/>
          <w:szCs w:val="18"/>
        </w:rPr>
        <w:drawing>
          <wp:inline distT="0" distB="0" distL="0" distR="0" wp14:anchorId="463D2674" wp14:editId="32F9106D">
            <wp:extent cx="5574029" cy="3331845"/>
            <wp:effectExtent l="0" t="0" r="27305" b="20955"/>
            <wp:docPr id="165" name="Chart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A3AE2" w:rsidRPr="00EA37A6" w:rsidRDefault="007A3AE2" w:rsidP="000A713E">
      <w:pPr>
        <w:pStyle w:val="Heading3"/>
        <w:spacing w:before="0"/>
        <w:rPr>
          <w:rFonts w:eastAsia="Times New Roman"/>
          <w:lang w:val="en-GB" w:eastAsia="en-US"/>
        </w:rPr>
      </w:pPr>
      <w:bookmarkStart w:id="89" w:name="_Toc489345746"/>
      <w:bookmarkStart w:id="90" w:name="_Toc489345951"/>
      <w:bookmarkStart w:id="91" w:name="_Toc489537708"/>
      <w:r w:rsidRPr="00EA37A6">
        <w:rPr>
          <w:rFonts w:eastAsia="Times New Roman"/>
          <w:b/>
          <w:lang w:val="en-GB" w:eastAsia="en-US"/>
        </w:rPr>
        <w:t xml:space="preserve">Figure 8: </w:t>
      </w:r>
      <w:r w:rsidRPr="00EA37A6">
        <w:rPr>
          <w:rFonts w:eastAsia="Times New Roman"/>
          <w:lang w:val="en-GB" w:eastAsia="en-US"/>
        </w:rPr>
        <w:t>CPI for selected food items</w:t>
      </w:r>
      <w:bookmarkEnd w:id="89"/>
      <w:bookmarkEnd w:id="90"/>
      <w:bookmarkEnd w:id="91"/>
      <w:r w:rsidRPr="00EA37A6">
        <w:rPr>
          <w:rFonts w:eastAsia="Times New Roman"/>
          <w:lang w:val="en-GB" w:eastAsia="en-US"/>
        </w:rPr>
        <w:t xml:space="preserve"> </w:t>
      </w:r>
    </w:p>
    <w:p w:rsidR="007A3AE2" w:rsidRPr="00EA37A6" w:rsidRDefault="007A3AE2" w:rsidP="00C65E2F">
      <w:pPr>
        <w:spacing w:after="0" w:line="360" w:lineRule="auto"/>
        <w:jc w:val="both"/>
        <w:rPr>
          <w:rFonts w:eastAsia="Times New Roman" w:cs="Arial"/>
          <w:szCs w:val="18"/>
          <w:lang w:val="en-GB" w:eastAsia="en-US"/>
        </w:rPr>
      </w:pPr>
      <w:r w:rsidRPr="00EA37A6">
        <w:rPr>
          <w:rFonts w:eastAsia="Times New Roman" w:cs="Arial"/>
          <w:szCs w:val="18"/>
          <w:lang w:val="en-GB" w:eastAsia="en-US"/>
        </w:rPr>
        <w:t>Source: Stats SA</w:t>
      </w:r>
    </w:p>
    <w:p w:rsidR="00C65E2F" w:rsidRDefault="00C65E2F" w:rsidP="00C939D5">
      <w:pPr>
        <w:spacing w:after="0" w:line="360" w:lineRule="auto"/>
        <w:jc w:val="both"/>
        <w:rPr>
          <w:rFonts w:eastAsia="Times New Roman" w:cs="Arial"/>
          <w:b/>
          <w:sz w:val="24"/>
          <w:szCs w:val="24"/>
          <w:lang w:val="en-GB"/>
        </w:rPr>
      </w:pPr>
    </w:p>
    <w:p w:rsidR="00EA37A6" w:rsidRDefault="00EA37A6" w:rsidP="00C939D5">
      <w:pPr>
        <w:spacing w:after="0" w:line="360" w:lineRule="auto"/>
        <w:jc w:val="both"/>
        <w:rPr>
          <w:rFonts w:eastAsia="Times New Roman" w:cs="Arial"/>
          <w:b/>
          <w:sz w:val="24"/>
          <w:szCs w:val="24"/>
          <w:lang w:val="en-GB"/>
        </w:rPr>
      </w:pPr>
    </w:p>
    <w:p w:rsidR="00C939D5" w:rsidRDefault="00C939D5" w:rsidP="000A713E">
      <w:pPr>
        <w:pStyle w:val="Heading2"/>
        <w:rPr>
          <w:rFonts w:eastAsia="Times New Roman"/>
          <w:lang w:val="en-GB"/>
        </w:rPr>
      </w:pPr>
      <w:bookmarkStart w:id="92" w:name="_Toc489345747"/>
      <w:bookmarkStart w:id="93" w:name="_Toc489345952"/>
      <w:bookmarkStart w:id="94" w:name="_Toc489537709"/>
      <w:r w:rsidRPr="009F08C4">
        <w:rPr>
          <w:rFonts w:eastAsia="Times New Roman"/>
          <w:lang w:val="en-GB"/>
        </w:rPr>
        <w:t>2.3 Employment</w:t>
      </w:r>
      <w:bookmarkEnd w:id="92"/>
      <w:bookmarkEnd w:id="93"/>
      <w:bookmarkEnd w:id="94"/>
      <w:r w:rsidRPr="009F08C4">
        <w:rPr>
          <w:rFonts w:eastAsia="Times New Roman"/>
          <w:lang w:val="en-GB"/>
        </w:rPr>
        <w:t xml:space="preserve"> </w:t>
      </w:r>
    </w:p>
    <w:p w:rsidR="00A87369" w:rsidRPr="00A87369" w:rsidRDefault="00A87369" w:rsidP="00A87369">
      <w:pPr>
        <w:spacing w:before="100" w:beforeAutospacing="1" w:after="100" w:afterAutospacing="1" w:line="360" w:lineRule="auto"/>
        <w:jc w:val="both"/>
        <w:rPr>
          <w:rFonts w:eastAsia="Times New Roman" w:cs="Arial"/>
          <w:sz w:val="24"/>
          <w:szCs w:val="24"/>
          <w:lang w:val="en-US" w:eastAsia="en-US"/>
        </w:rPr>
      </w:pPr>
      <w:r w:rsidRPr="00A87369">
        <w:rPr>
          <w:rFonts w:eastAsia="Times New Roman" w:cs="Arial"/>
          <w:sz w:val="24"/>
          <w:szCs w:val="24"/>
          <w:lang w:val="en-GB" w:eastAsia="en-US"/>
        </w:rPr>
        <w:t>According to the Quarterly Labour Force Survey (QLFS) t</w:t>
      </w:r>
      <w:r w:rsidRPr="00A87369">
        <w:rPr>
          <w:rFonts w:eastAsia="Times New Roman" w:cs="Arial"/>
          <w:sz w:val="24"/>
          <w:szCs w:val="24"/>
          <w:lang w:val="en-US" w:eastAsia="en-US"/>
        </w:rPr>
        <w:t>he growth in employment of 144 000, was offset by the growth in the number of job-seekers of 433 000 driving the unemployment rate to 27</w:t>
      </w:r>
      <w:proofErr w:type="gramStart"/>
      <w:r w:rsidRPr="00A87369">
        <w:rPr>
          <w:rFonts w:eastAsia="Times New Roman" w:cs="Arial"/>
          <w:sz w:val="24"/>
          <w:szCs w:val="24"/>
          <w:lang w:val="en-US" w:eastAsia="en-US"/>
        </w:rPr>
        <w:t>,7</w:t>
      </w:r>
      <w:proofErr w:type="gramEnd"/>
      <w:r w:rsidRPr="00A87369">
        <w:rPr>
          <w:rFonts w:eastAsia="Times New Roman" w:cs="Arial"/>
          <w:sz w:val="24"/>
          <w:szCs w:val="24"/>
          <w:lang w:val="en-US" w:eastAsia="en-US"/>
        </w:rPr>
        <w:t>% in the first quarter of 2017 from 26</w:t>
      </w:r>
      <w:r w:rsidR="000673B6">
        <w:rPr>
          <w:rFonts w:eastAsia="Times New Roman" w:cs="Arial"/>
          <w:sz w:val="24"/>
          <w:szCs w:val="24"/>
          <w:lang w:val="en-US" w:eastAsia="en-US"/>
        </w:rPr>
        <w:t>,</w:t>
      </w:r>
      <w:r w:rsidRPr="00A87369">
        <w:rPr>
          <w:rFonts w:eastAsia="Times New Roman" w:cs="Arial"/>
          <w:sz w:val="24"/>
          <w:szCs w:val="24"/>
          <w:lang w:val="en-US" w:eastAsia="en-US"/>
        </w:rPr>
        <w:t xml:space="preserve">5% in the last quarter of 2016. This is the highest unemployment rate observed since September 2003. The growth in employment was observed in all industries except </w:t>
      </w:r>
      <w:r w:rsidR="000673B6">
        <w:rPr>
          <w:rFonts w:eastAsia="Times New Roman" w:cs="Arial"/>
          <w:sz w:val="24"/>
          <w:szCs w:val="24"/>
          <w:lang w:val="en-US" w:eastAsia="en-US"/>
        </w:rPr>
        <w:t>a</w:t>
      </w:r>
      <w:r w:rsidRPr="00A87369">
        <w:rPr>
          <w:rFonts w:eastAsia="Times New Roman" w:cs="Arial"/>
          <w:sz w:val="24"/>
          <w:szCs w:val="24"/>
          <w:lang w:val="en-US" w:eastAsia="en-US"/>
        </w:rPr>
        <w:t xml:space="preserve">griculture, trade and services. The biggest growth was observed in Manufacturing (62 000), </w:t>
      </w:r>
      <w:r w:rsidR="000673B6">
        <w:rPr>
          <w:rFonts w:eastAsia="Times New Roman" w:cs="Arial"/>
          <w:sz w:val="24"/>
          <w:szCs w:val="24"/>
          <w:lang w:val="en-US" w:eastAsia="en-US"/>
        </w:rPr>
        <w:t>f</w:t>
      </w:r>
      <w:r w:rsidRPr="00A87369">
        <w:rPr>
          <w:rFonts w:eastAsia="Times New Roman" w:cs="Arial"/>
          <w:sz w:val="24"/>
          <w:szCs w:val="24"/>
          <w:lang w:val="en-US" w:eastAsia="en-US"/>
        </w:rPr>
        <w:t xml:space="preserve">inance </w:t>
      </w:r>
      <w:r w:rsidR="000673B6">
        <w:rPr>
          <w:rFonts w:eastAsia="Times New Roman" w:cs="Arial"/>
          <w:sz w:val="24"/>
          <w:szCs w:val="24"/>
          <w:lang w:val="en-US" w:eastAsia="en-US"/>
        </w:rPr>
        <w:t>and</w:t>
      </w:r>
      <w:r w:rsidRPr="00A87369">
        <w:rPr>
          <w:rFonts w:eastAsia="Times New Roman" w:cs="Arial"/>
          <w:sz w:val="24"/>
          <w:szCs w:val="24"/>
          <w:lang w:val="en-US" w:eastAsia="en-US"/>
        </w:rPr>
        <w:t xml:space="preserve"> other business services (49 000) and </w:t>
      </w:r>
      <w:r w:rsidR="000673B6">
        <w:rPr>
          <w:rFonts w:eastAsia="Times New Roman" w:cs="Arial"/>
          <w:sz w:val="24"/>
          <w:szCs w:val="24"/>
          <w:lang w:val="en-US" w:eastAsia="en-US"/>
        </w:rPr>
        <w:t>m</w:t>
      </w:r>
      <w:r w:rsidRPr="00A87369">
        <w:rPr>
          <w:rFonts w:eastAsia="Times New Roman" w:cs="Arial"/>
          <w:sz w:val="24"/>
          <w:szCs w:val="24"/>
          <w:lang w:val="en-US" w:eastAsia="en-US"/>
        </w:rPr>
        <w:t xml:space="preserve">ining (26 000).  Mining grew for the first time in the first quarter of 2017 after declining for four successive quarters. Furthermore, employment grew in all provinces quarter to quarter except in </w:t>
      </w:r>
      <w:r w:rsidR="000673B6">
        <w:rPr>
          <w:rFonts w:eastAsia="Times New Roman" w:cs="Arial"/>
          <w:sz w:val="24"/>
          <w:szCs w:val="24"/>
          <w:lang w:val="en-US" w:eastAsia="en-US"/>
        </w:rPr>
        <w:t xml:space="preserve">the </w:t>
      </w:r>
      <w:r w:rsidRPr="00A87369">
        <w:rPr>
          <w:rFonts w:eastAsia="Times New Roman" w:cs="Arial"/>
          <w:sz w:val="24"/>
          <w:szCs w:val="24"/>
          <w:lang w:val="en-US" w:eastAsia="en-US"/>
        </w:rPr>
        <w:t xml:space="preserve">Eastern Cape and Limpopo.  All Metros registered growth in employment except Nelson Mandela Bay, </w:t>
      </w:r>
      <w:proofErr w:type="spellStart"/>
      <w:r w:rsidRPr="00A87369">
        <w:rPr>
          <w:rFonts w:eastAsia="Times New Roman" w:cs="Arial"/>
          <w:sz w:val="24"/>
          <w:szCs w:val="24"/>
          <w:lang w:val="en-US" w:eastAsia="en-US"/>
        </w:rPr>
        <w:t>Mangaung</w:t>
      </w:r>
      <w:proofErr w:type="spellEnd"/>
      <w:r w:rsidRPr="00A87369">
        <w:rPr>
          <w:rFonts w:eastAsia="Times New Roman" w:cs="Arial"/>
          <w:sz w:val="24"/>
          <w:szCs w:val="24"/>
          <w:lang w:val="en-US" w:eastAsia="en-US"/>
        </w:rPr>
        <w:t xml:space="preserve"> and City of Johannesburg which remained virtually unchanged. There were approximately 500 000 extra people in employment in the first quarter of 2017 compared to the same period last year. The year-on-year employment growth was driven by manufacturing (145 000), construction (143 000) and finance (152 000).</w:t>
      </w:r>
    </w:p>
    <w:p w:rsidR="00A87369" w:rsidRPr="00A87369" w:rsidRDefault="00A87369" w:rsidP="00A87369">
      <w:pPr>
        <w:spacing w:before="100" w:beforeAutospacing="1" w:after="100" w:afterAutospacing="1" w:line="360" w:lineRule="auto"/>
        <w:jc w:val="both"/>
        <w:rPr>
          <w:rFonts w:eastAsia="Times New Roman" w:cs="Arial"/>
          <w:sz w:val="24"/>
          <w:szCs w:val="24"/>
          <w:lang w:val="en-US" w:eastAsia="en-US"/>
        </w:rPr>
      </w:pPr>
      <w:r w:rsidRPr="00A87369">
        <w:rPr>
          <w:rFonts w:eastAsia="Times New Roman" w:cs="Arial"/>
          <w:sz w:val="24"/>
          <w:szCs w:val="24"/>
          <w:lang w:val="en-US" w:eastAsia="en-US"/>
        </w:rPr>
        <w:t>Of the 433 000 people who joined the ranks of the unemployed in the first quarter of 2017, approximately 58% were young people aged 15</w:t>
      </w:r>
      <w:r w:rsidR="000673B6">
        <w:rPr>
          <w:rFonts w:eastAsia="Times New Roman" w:cs="Arial"/>
          <w:sz w:val="24"/>
          <w:szCs w:val="24"/>
          <w:lang w:val="en-US" w:eastAsia="en-US"/>
        </w:rPr>
        <w:t xml:space="preserve"> to </w:t>
      </w:r>
      <w:r w:rsidRPr="00A87369">
        <w:rPr>
          <w:rFonts w:eastAsia="Times New Roman" w:cs="Arial"/>
          <w:sz w:val="24"/>
          <w:szCs w:val="24"/>
          <w:lang w:val="en-US" w:eastAsia="en-US"/>
        </w:rPr>
        <w:t xml:space="preserve">34 increasing the youth unemployment rate </w:t>
      </w:r>
      <w:r w:rsidR="000673B6">
        <w:rPr>
          <w:rFonts w:eastAsia="Times New Roman" w:cs="Arial"/>
          <w:sz w:val="24"/>
          <w:szCs w:val="24"/>
          <w:lang w:val="en-US" w:eastAsia="en-US"/>
        </w:rPr>
        <w:t>from</w:t>
      </w:r>
      <w:r w:rsidRPr="00A87369">
        <w:rPr>
          <w:rFonts w:eastAsia="Times New Roman" w:cs="Arial"/>
          <w:sz w:val="24"/>
          <w:szCs w:val="24"/>
          <w:lang w:val="en-US" w:eastAsia="en-US"/>
        </w:rPr>
        <w:t xml:space="preserve"> 1,6 percentage points to 38,6%. The proportion of those in short term unemployment (</w:t>
      </w:r>
      <w:proofErr w:type="spellStart"/>
      <w:r w:rsidRPr="00A87369">
        <w:rPr>
          <w:rFonts w:eastAsia="Times New Roman" w:cs="Arial"/>
          <w:sz w:val="24"/>
          <w:szCs w:val="24"/>
          <w:lang w:val="en-US" w:eastAsia="en-US"/>
        </w:rPr>
        <w:t>i.e</w:t>
      </w:r>
      <w:proofErr w:type="spellEnd"/>
      <w:r w:rsidRPr="00A87369">
        <w:rPr>
          <w:rFonts w:eastAsia="Times New Roman" w:cs="Arial"/>
          <w:sz w:val="24"/>
          <w:szCs w:val="24"/>
          <w:lang w:val="en-US" w:eastAsia="en-US"/>
        </w:rPr>
        <w:t xml:space="preserve"> those who have been looking for work for less than a </w:t>
      </w:r>
      <w:proofErr w:type="gramStart"/>
      <w:r w:rsidRPr="00A87369">
        <w:rPr>
          <w:rFonts w:eastAsia="Times New Roman" w:cs="Arial"/>
          <w:sz w:val="24"/>
          <w:szCs w:val="24"/>
          <w:lang w:val="en-US" w:eastAsia="en-US"/>
        </w:rPr>
        <w:t>year )</w:t>
      </w:r>
      <w:proofErr w:type="gramEnd"/>
      <w:r w:rsidRPr="00A87369">
        <w:rPr>
          <w:rFonts w:eastAsia="Times New Roman" w:cs="Arial"/>
          <w:sz w:val="24"/>
          <w:szCs w:val="24"/>
          <w:lang w:val="en-US" w:eastAsia="en-US"/>
        </w:rPr>
        <w:t xml:space="preserve"> increased by 2,4 percentage points to 34,2% a further indication that these were young people who joined the labour force at the beginning of the year. Unemployment rate remained high among those with education level of less than matric at 33</w:t>
      </w:r>
      <w:proofErr w:type="gramStart"/>
      <w:r w:rsidRPr="00A87369">
        <w:rPr>
          <w:rFonts w:eastAsia="Times New Roman" w:cs="Arial"/>
          <w:sz w:val="24"/>
          <w:szCs w:val="24"/>
          <w:lang w:val="en-US" w:eastAsia="en-US"/>
        </w:rPr>
        <w:t>,1</w:t>
      </w:r>
      <w:proofErr w:type="gramEnd"/>
      <w:r w:rsidRPr="00A87369">
        <w:rPr>
          <w:rFonts w:eastAsia="Times New Roman" w:cs="Arial"/>
          <w:sz w:val="24"/>
          <w:szCs w:val="24"/>
          <w:lang w:val="en-US" w:eastAsia="en-US"/>
        </w:rPr>
        <w:t>% which is 5,4 percentage points higher than the national average. While the unemployment rate among graduates remained at 7</w:t>
      </w:r>
      <w:proofErr w:type="gramStart"/>
      <w:r w:rsidRPr="00A87369">
        <w:rPr>
          <w:rFonts w:eastAsia="Times New Roman" w:cs="Arial"/>
          <w:sz w:val="24"/>
          <w:szCs w:val="24"/>
          <w:lang w:val="en-US" w:eastAsia="en-US"/>
        </w:rPr>
        <w:t>,3</w:t>
      </w:r>
      <w:proofErr w:type="gramEnd"/>
      <w:r w:rsidRPr="00A87369">
        <w:rPr>
          <w:rFonts w:eastAsia="Times New Roman" w:cs="Arial"/>
          <w:sz w:val="24"/>
          <w:szCs w:val="24"/>
          <w:lang w:val="en-US" w:eastAsia="en-US"/>
        </w:rPr>
        <w:t>%.</w:t>
      </w:r>
    </w:p>
    <w:p w:rsidR="00A87369" w:rsidRPr="00A87369" w:rsidRDefault="00A87369" w:rsidP="00A87369">
      <w:pPr>
        <w:spacing w:before="100" w:beforeAutospacing="1" w:after="100" w:afterAutospacing="1" w:line="360" w:lineRule="auto"/>
        <w:jc w:val="both"/>
        <w:rPr>
          <w:rFonts w:eastAsia="Times New Roman" w:cs="Arial"/>
          <w:sz w:val="24"/>
          <w:szCs w:val="24"/>
          <w:lang w:val="en-US" w:eastAsia="en-US"/>
        </w:rPr>
      </w:pPr>
      <w:r w:rsidRPr="00A87369">
        <w:rPr>
          <w:rFonts w:eastAsia="Times New Roman" w:cs="Arial"/>
          <w:sz w:val="24"/>
          <w:szCs w:val="24"/>
          <w:lang w:val="en-US" w:eastAsia="en-US"/>
        </w:rPr>
        <w:t>Unemployment rate increased or remained virtually unchanged in all provinces except Northern Cape. The biggest increase in unemployment rate was observed in Eastern Cape which increased by 3</w:t>
      </w:r>
      <w:proofErr w:type="gramStart"/>
      <w:r w:rsidR="000673B6">
        <w:rPr>
          <w:rFonts w:eastAsia="Times New Roman" w:cs="Arial"/>
          <w:sz w:val="24"/>
          <w:szCs w:val="24"/>
          <w:lang w:val="en-US" w:eastAsia="en-US"/>
        </w:rPr>
        <w:t>,</w:t>
      </w:r>
      <w:r w:rsidRPr="00A87369">
        <w:rPr>
          <w:rFonts w:eastAsia="Times New Roman" w:cs="Arial"/>
          <w:sz w:val="24"/>
          <w:szCs w:val="24"/>
          <w:lang w:val="en-US" w:eastAsia="en-US"/>
        </w:rPr>
        <w:t>8</w:t>
      </w:r>
      <w:proofErr w:type="gramEnd"/>
      <w:r w:rsidRPr="00A87369">
        <w:rPr>
          <w:rFonts w:eastAsia="Times New Roman" w:cs="Arial"/>
          <w:sz w:val="24"/>
          <w:szCs w:val="24"/>
          <w:lang w:val="en-US" w:eastAsia="en-US"/>
        </w:rPr>
        <w:t xml:space="preserve"> percentage points to 32,2%. The expanded unemployment which includes those who wanted to work but did not look for work increased by 391 000 people, resulting in an increase of 0</w:t>
      </w:r>
      <w:proofErr w:type="gramStart"/>
      <w:r w:rsidRPr="00A87369">
        <w:rPr>
          <w:rFonts w:eastAsia="Times New Roman" w:cs="Arial"/>
          <w:sz w:val="24"/>
          <w:szCs w:val="24"/>
          <w:lang w:val="en-US" w:eastAsia="en-US"/>
        </w:rPr>
        <w:t>,8</w:t>
      </w:r>
      <w:proofErr w:type="gramEnd"/>
      <w:r w:rsidRPr="00A87369">
        <w:rPr>
          <w:rFonts w:eastAsia="Times New Roman" w:cs="Arial"/>
          <w:sz w:val="24"/>
          <w:szCs w:val="24"/>
          <w:lang w:val="en-US" w:eastAsia="en-US"/>
        </w:rPr>
        <w:t xml:space="preserve"> of a percentage point in the expanded unemployment rate to 36,4%. This is approximately 9</w:t>
      </w:r>
      <w:proofErr w:type="gramStart"/>
      <w:r w:rsidRPr="00A87369">
        <w:rPr>
          <w:rFonts w:eastAsia="Times New Roman" w:cs="Arial"/>
          <w:sz w:val="24"/>
          <w:szCs w:val="24"/>
          <w:lang w:val="en-US" w:eastAsia="en-US"/>
        </w:rPr>
        <w:t>,3</w:t>
      </w:r>
      <w:proofErr w:type="gramEnd"/>
      <w:r w:rsidRPr="00A87369">
        <w:rPr>
          <w:rFonts w:eastAsia="Times New Roman" w:cs="Arial"/>
          <w:sz w:val="24"/>
          <w:szCs w:val="24"/>
          <w:lang w:val="en-US" w:eastAsia="en-US"/>
        </w:rPr>
        <w:t xml:space="preserve"> million persons who did not have work but wanted to work in the first quarter of 2017</w:t>
      </w:r>
      <w:r w:rsidR="000752FD">
        <w:rPr>
          <w:rFonts w:eastAsia="Times New Roman" w:cs="Arial"/>
          <w:sz w:val="24"/>
          <w:szCs w:val="24"/>
          <w:lang w:val="en-US" w:eastAsia="en-US"/>
        </w:rPr>
        <w:t>, see Figure 9</w:t>
      </w:r>
      <w:r w:rsidRPr="00A87369">
        <w:rPr>
          <w:rFonts w:eastAsia="Times New Roman" w:cs="Arial"/>
          <w:sz w:val="24"/>
          <w:szCs w:val="24"/>
          <w:lang w:val="en-US" w:eastAsia="en-US"/>
        </w:rPr>
        <w:t>.</w:t>
      </w:r>
    </w:p>
    <w:p w:rsidR="00203CD9" w:rsidRDefault="00A87369" w:rsidP="002D3BFD">
      <w:pPr>
        <w:spacing w:after="0" w:line="240" w:lineRule="auto"/>
        <w:rPr>
          <w:rFonts w:eastAsia="Times New Roman"/>
          <w:noProof/>
          <w:sz w:val="20"/>
          <w:szCs w:val="20"/>
        </w:rPr>
      </w:pPr>
      <w:r w:rsidRPr="00A87369">
        <w:rPr>
          <w:rFonts w:eastAsia="Times New Roman"/>
          <w:noProof/>
        </w:rPr>
        <w:drawing>
          <wp:inline distT="0" distB="0" distL="0" distR="0" wp14:anchorId="17F7E8BC" wp14:editId="1CA8448C">
            <wp:extent cx="5172075" cy="30003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87369" w:rsidRPr="00203CD9" w:rsidRDefault="00A87369" w:rsidP="002D3BFD">
      <w:pPr>
        <w:pStyle w:val="Heading3"/>
        <w:spacing w:before="0" w:line="240" w:lineRule="auto"/>
        <w:rPr>
          <w:rFonts w:eastAsia="Times New Roman"/>
          <w:noProof/>
        </w:rPr>
      </w:pPr>
      <w:bookmarkStart w:id="95" w:name="_Toc489345748"/>
      <w:bookmarkStart w:id="96" w:name="_Toc489345953"/>
      <w:bookmarkStart w:id="97" w:name="_Toc489537710"/>
      <w:r w:rsidRPr="000A713E">
        <w:rPr>
          <w:rFonts w:eastAsia="Times New Roman"/>
          <w:b/>
          <w:noProof/>
        </w:rPr>
        <w:t>Figure 9:</w:t>
      </w:r>
      <w:r w:rsidRPr="00203CD9">
        <w:rPr>
          <w:rFonts w:eastAsia="Times New Roman"/>
          <w:noProof/>
        </w:rPr>
        <w:t xml:space="preserve"> </w:t>
      </w:r>
      <w:r w:rsidRPr="00203CD9">
        <w:rPr>
          <w:rFonts w:eastAsia="Times New Roman"/>
          <w:lang w:val="en-GB" w:eastAsia="en-US"/>
        </w:rPr>
        <w:t>Total number of people employed in the agriculture sector between 2015 and 2017.</w:t>
      </w:r>
      <w:bookmarkEnd w:id="95"/>
      <w:bookmarkEnd w:id="96"/>
      <w:bookmarkEnd w:id="97"/>
      <w:r w:rsidRPr="00203CD9">
        <w:rPr>
          <w:rFonts w:ascii="Times New Roman" w:eastAsia="Times New Roman" w:hAnsi="Times New Roman" w:cs="Times New Roman"/>
          <w:lang w:val="en-GB" w:eastAsia="en-US"/>
        </w:rPr>
        <w:t xml:space="preserve">      </w:t>
      </w:r>
      <w:r w:rsidRPr="00203CD9">
        <w:rPr>
          <w:rFonts w:eastAsia="Times New Roman"/>
          <w:noProof/>
        </w:rPr>
        <w:t xml:space="preserve">                     </w:t>
      </w:r>
    </w:p>
    <w:p w:rsidR="00A87369" w:rsidRPr="009437BF" w:rsidRDefault="00A87369" w:rsidP="009437BF">
      <w:pPr>
        <w:rPr>
          <w:rFonts w:eastAsia="Times New Roman" w:cs="Arial"/>
          <w:szCs w:val="18"/>
          <w:lang w:val="en-GB" w:eastAsia="en-GB"/>
        </w:rPr>
      </w:pPr>
      <w:bookmarkStart w:id="98" w:name="_Toc489345749"/>
      <w:bookmarkStart w:id="99" w:name="_Toc489345954"/>
      <w:r w:rsidRPr="009437BF">
        <w:rPr>
          <w:rFonts w:eastAsia="Times New Roman" w:cs="Arial"/>
          <w:szCs w:val="18"/>
          <w:lang w:val="en-GB" w:eastAsia="en-GB"/>
        </w:rPr>
        <w:t>Source: DAFF</w:t>
      </w:r>
      <w:bookmarkEnd w:id="98"/>
      <w:bookmarkEnd w:id="99"/>
    </w:p>
    <w:p w:rsidR="00203CD9" w:rsidRPr="00203CD9" w:rsidRDefault="00203CD9" w:rsidP="00203CD9">
      <w:pPr>
        <w:shd w:val="clear" w:color="auto" w:fill="FFFFFF"/>
        <w:spacing w:after="0" w:line="360" w:lineRule="auto"/>
        <w:rPr>
          <w:rFonts w:eastAsia="Times New Roman" w:cs="Arial"/>
          <w:szCs w:val="18"/>
          <w:lang w:val="en-GB" w:eastAsia="en-GB"/>
        </w:rPr>
      </w:pPr>
    </w:p>
    <w:p w:rsidR="00A87369" w:rsidRPr="00A87369" w:rsidRDefault="00A87369" w:rsidP="00A87369">
      <w:pPr>
        <w:spacing w:after="150" w:line="360" w:lineRule="auto"/>
        <w:jc w:val="both"/>
        <w:rPr>
          <w:rFonts w:eastAsia="Times New Roman" w:cs="Arial"/>
          <w:sz w:val="24"/>
          <w:szCs w:val="24"/>
          <w:lang w:val="en-GB" w:eastAsia="en-US"/>
        </w:rPr>
      </w:pPr>
      <w:r w:rsidRPr="00A87369">
        <w:rPr>
          <w:rFonts w:eastAsia="Times New Roman" w:cs="Arial"/>
          <w:sz w:val="24"/>
          <w:szCs w:val="24"/>
          <w:lang w:val="en-GB" w:eastAsia="en-US"/>
        </w:rPr>
        <w:t>The number of people employed in agriculture sector decreased by 4</w:t>
      </w:r>
      <w:proofErr w:type="gramStart"/>
      <w:r w:rsidR="000673B6">
        <w:rPr>
          <w:rFonts w:eastAsia="Times New Roman" w:cs="Arial"/>
          <w:sz w:val="24"/>
          <w:szCs w:val="24"/>
          <w:lang w:val="en-GB" w:eastAsia="en-US"/>
        </w:rPr>
        <w:t>,</w:t>
      </w:r>
      <w:r w:rsidRPr="00A87369">
        <w:rPr>
          <w:rFonts w:eastAsia="Times New Roman" w:cs="Arial"/>
          <w:sz w:val="24"/>
          <w:szCs w:val="24"/>
          <w:lang w:val="en-GB" w:eastAsia="en-US"/>
        </w:rPr>
        <w:t>8</w:t>
      </w:r>
      <w:proofErr w:type="gramEnd"/>
      <w:r w:rsidRPr="00A87369">
        <w:rPr>
          <w:rFonts w:eastAsia="Times New Roman" w:cs="Arial"/>
          <w:sz w:val="24"/>
          <w:szCs w:val="24"/>
          <w:lang w:val="en-GB" w:eastAsia="en-US"/>
        </w:rPr>
        <w:t>% in the first quarter of 2017, from 919 000 persons in the fourth quarter of 2016 to 875 000 persons in the first quarter of 2017.</w:t>
      </w:r>
      <w:r w:rsidRPr="00A87369">
        <w:rPr>
          <w:rFonts w:ascii="Times New Roman" w:eastAsia="Times New Roman" w:hAnsi="Times New Roman" w:cs="Times New Roman"/>
          <w:sz w:val="24"/>
          <w:szCs w:val="24"/>
          <w:lang w:val="en-GB" w:eastAsia="en-US"/>
        </w:rPr>
        <w:t xml:space="preserve"> </w:t>
      </w:r>
      <w:r w:rsidRPr="00A87369">
        <w:rPr>
          <w:rFonts w:eastAsia="Times New Roman" w:cs="Arial"/>
          <w:sz w:val="24"/>
          <w:szCs w:val="24"/>
          <w:lang w:val="en-GB" w:eastAsia="en-US"/>
        </w:rPr>
        <w:t xml:space="preserve">Of the 44 000 job losses by the sector in the first quarter of 2017, 27 000 jobs were lost by women meanwhile 17 000 jobs were lost by men. In total, the agricultural sector comprised of 278 000 women and 597 000 men in the first quarter of 2017 compared to 305 000 women and 614 000 men </w:t>
      </w:r>
      <w:proofErr w:type="gramStart"/>
      <w:r w:rsidRPr="00A87369">
        <w:rPr>
          <w:rFonts w:eastAsia="Times New Roman" w:cs="Arial"/>
          <w:sz w:val="24"/>
          <w:szCs w:val="24"/>
          <w:lang w:val="en-GB" w:eastAsia="en-US"/>
        </w:rPr>
        <w:t>the  previous</w:t>
      </w:r>
      <w:proofErr w:type="gramEnd"/>
      <w:r w:rsidRPr="00A87369">
        <w:rPr>
          <w:rFonts w:eastAsia="Times New Roman" w:cs="Arial"/>
          <w:sz w:val="24"/>
          <w:szCs w:val="24"/>
          <w:lang w:val="en-GB" w:eastAsia="en-US"/>
        </w:rPr>
        <w:t xml:space="preserve"> quarter. Compared to a year ago the sector only created 0</w:t>
      </w:r>
      <w:proofErr w:type="gramStart"/>
      <w:r w:rsidR="000673B6">
        <w:rPr>
          <w:rFonts w:eastAsia="Times New Roman" w:cs="Arial"/>
          <w:sz w:val="24"/>
          <w:szCs w:val="24"/>
          <w:lang w:val="en-GB" w:eastAsia="en-US"/>
        </w:rPr>
        <w:t>,</w:t>
      </w:r>
      <w:r w:rsidRPr="00A87369">
        <w:rPr>
          <w:rFonts w:eastAsia="Times New Roman" w:cs="Arial"/>
          <w:sz w:val="24"/>
          <w:szCs w:val="24"/>
          <w:lang w:val="en-GB" w:eastAsia="en-US"/>
        </w:rPr>
        <w:t>7</w:t>
      </w:r>
      <w:proofErr w:type="gramEnd"/>
      <w:r w:rsidRPr="00A87369">
        <w:rPr>
          <w:rFonts w:eastAsia="Times New Roman" w:cs="Arial"/>
          <w:sz w:val="24"/>
          <w:szCs w:val="24"/>
          <w:lang w:val="en-GB" w:eastAsia="en-US"/>
        </w:rPr>
        <w:t>%, which is 6 000 job opportunities.</w:t>
      </w:r>
      <w:r w:rsidRPr="00A87369">
        <w:rPr>
          <w:rFonts w:eastAsia="Times New Roman" w:cs="Arial"/>
          <w:sz w:val="24"/>
          <w:szCs w:val="24"/>
          <w:lang w:val="en-GB"/>
        </w:rPr>
        <w:t xml:space="preserve"> The gap between the unemployment rate envisaged in the National Development Plan (NDP) and the current rate is widening. The NDP state that unemployment should be 14% by 2020 </w:t>
      </w:r>
      <w:proofErr w:type="gramStart"/>
      <w:r w:rsidRPr="00A87369">
        <w:rPr>
          <w:rFonts w:eastAsia="Times New Roman" w:cs="Arial"/>
          <w:sz w:val="24"/>
          <w:szCs w:val="24"/>
          <w:lang w:val="en-GB"/>
        </w:rPr>
        <w:t>and  only</w:t>
      </w:r>
      <w:proofErr w:type="gramEnd"/>
      <w:r w:rsidRPr="00A87369">
        <w:rPr>
          <w:rFonts w:eastAsia="Times New Roman" w:cs="Arial"/>
          <w:sz w:val="24"/>
          <w:szCs w:val="24"/>
          <w:lang w:val="en-GB"/>
        </w:rPr>
        <w:t xml:space="preserve"> two and a half years to that target. The gap to 2020 currently stands at 13</w:t>
      </w:r>
      <w:proofErr w:type="gramStart"/>
      <w:r w:rsidR="000673B6">
        <w:rPr>
          <w:rFonts w:eastAsia="Times New Roman" w:cs="Arial"/>
          <w:sz w:val="24"/>
          <w:szCs w:val="24"/>
          <w:lang w:val="en-GB"/>
        </w:rPr>
        <w:t>,</w:t>
      </w:r>
      <w:r w:rsidRPr="00A87369">
        <w:rPr>
          <w:rFonts w:eastAsia="Times New Roman" w:cs="Arial"/>
          <w:sz w:val="24"/>
          <w:szCs w:val="24"/>
          <w:lang w:val="en-GB"/>
        </w:rPr>
        <w:t>7</w:t>
      </w:r>
      <w:proofErr w:type="gramEnd"/>
      <w:r w:rsidRPr="00A87369">
        <w:rPr>
          <w:rFonts w:eastAsia="Times New Roman" w:cs="Arial"/>
          <w:sz w:val="24"/>
          <w:szCs w:val="24"/>
          <w:lang w:val="en-GB"/>
        </w:rPr>
        <w:t xml:space="preserve"> percentage points. </w:t>
      </w:r>
      <w:r w:rsidRPr="00A87369">
        <w:rPr>
          <w:rFonts w:eastAsia="Times New Roman" w:cs="Arial"/>
          <w:sz w:val="24"/>
          <w:szCs w:val="24"/>
          <w:lang w:val="en-GB" w:eastAsia="en-US"/>
        </w:rPr>
        <w:t>The NDP argues that agriculture has the potential to create close to one million new jobs by 2030. This can be done by expanding irrigated agriculture. With the sector now losing job it looks difficult to achieve one million jobs.</w:t>
      </w:r>
    </w:p>
    <w:p w:rsidR="00A87369" w:rsidRPr="00A87369" w:rsidRDefault="00A87369" w:rsidP="00A87369">
      <w:pPr>
        <w:spacing w:after="150" w:line="360" w:lineRule="auto"/>
        <w:jc w:val="both"/>
        <w:rPr>
          <w:rFonts w:eastAsia="Times New Roman" w:cs="Arial"/>
          <w:sz w:val="24"/>
          <w:szCs w:val="24"/>
          <w:lang w:val="en-GB" w:eastAsia="en-US"/>
        </w:rPr>
      </w:pPr>
    </w:p>
    <w:p w:rsidR="00A87369" w:rsidRPr="00A87369" w:rsidRDefault="00A87369" w:rsidP="00A87369">
      <w:pPr>
        <w:autoSpaceDE w:val="0"/>
        <w:autoSpaceDN w:val="0"/>
        <w:adjustRightInd w:val="0"/>
        <w:spacing w:after="0" w:line="360" w:lineRule="auto"/>
        <w:jc w:val="both"/>
        <w:rPr>
          <w:rFonts w:eastAsia="Times New Roman" w:cs="Arial"/>
          <w:sz w:val="24"/>
          <w:szCs w:val="24"/>
          <w:lang w:val="en-US" w:eastAsia="en-US"/>
        </w:rPr>
      </w:pPr>
      <w:r w:rsidRPr="00A87369">
        <w:rPr>
          <w:rFonts w:eastAsia="Times New Roman" w:cs="Arial"/>
          <w:sz w:val="24"/>
          <w:szCs w:val="24"/>
          <w:lang w:val="en-US" w:eastAsia="en-US"/>
        </w:rPr>
        <w:t xml:space="preserve">Figure 10 shows that between the fourth </w:t>
      </w:r>
      <w:proofErr w:type="gramStart"/>
      <w:r w:rsidRPr="00A87369">
        <w:rPr>
          <w:rFonts w:eastAsia="Times New Roman" w:cs="Arial"/>
          <w:sz w:val="24"/>
          <w:szCs w:val="24"/>
          <w:lang w:val="en-US" w:eastAsia="en-US"/>
        </w:rPr>
        <w:t>quarter</w:t>
      </w:r>
      <w:proofErr w:type="gramEnd"/>
      <w:r w:rsidRPr="00A87369">
        <w:rPr>
          <w:rFonts w:eastAsia="Times New Roman" w:cs="Arial"/>
          <w:sz w:val="24"/>
          <w:szCs w:val="24"/>
          <w:lang w:val="en-US" w:eastAsia="en-US"/>
        </w:rPr>
        <w:t xml:space="preserve"> of 2016 and the first quarter of 2017, provincial agriculture employment increased slightly in three provinces, whilst </w:t>
      </w:r>
      <w:r w:rsidR="007F5A8A">
        <w:rPr>
          <w:rFonts w:eastAsia="Times New Roman" w:cs="Arial"/>
          <w:sz w:val="24"/>
          <w:szCs w:val="24"/>
          <w:lang w:val="en-US" w:eastAsia="en-US"/>
        </w:rPr>
        <w:t xml:space="preserve">it </w:t>
      </w:r>
      <w:r w:rsidRPr="00A87369">
        <w:rPr>
          <w:rFonts w:eastAsia="Times New Roman" w:cs="Arial"/>
          <w:sz w:val="24"/>
          <w:szCs w:val="24"/>
          <w:lang w:val="en-US" w:eastAsia="en-US"/>
        </w:rPr>
        <w:t>decreased in other five provinces. Compared to other provinces</w:t>
      </w:r>
      <w:r w:rsidR="007F5A8A">
        <w:rPr>
          <w:rFonts w:eastAsia="Times New Roman" w:cs="Arial"/>
          <w:sz w:val="24"/>
          <w:szCs w:val="24"/>
          <w:lang w:val="en-US" w:eastAsia="en-US"/>
        </w:rPr>
        <w:t>,</w:t>
      </w:r>
      <w:r w:rsidRPr="00A87369">
        <w:rPr>
          <w:rFonts w:eastAsia="Times New Roman" w:cs="Arial"/>
          <w:sz w:val="24"/>
          <w:szCs w:val="24"/>
          <w:lang w:val="en-US" w:eastAsia="en-US"/>
        </w:rPr>
        <w:t xml:space="preserve"> Western Cape had the highest employment of 215 000 in agriculture between the two quarters. During the same period agriculture employment in Free State, Mpumalanga, Limpopo and Gauteng increased by 8</w:t>
      </w:r>
      <w:proofErr w:type="gramStart"/>
      <w:r w:rsidR="007F5A8A">
        <w:rPr>
          <w:rFonts w:eastAsia="Times New Roman" w:cs="Arial"/>
          <w:sz w:val="24"/>
          <w:szCs w:val="24"/>
          <w:lang w:val="en-US" w:eastAsia="en-US"/>
        </w:rPr>
        <w:t>,</w:t>
      </w:r>
      <w:r w:rsidRPr="00A87369">
        <w:rPr>
          <w:rFonts w:eastAsia="Times New Roman" w:cs="Arial"/>
          <w:sz w:val="24"/>
          <w:szCs w:val="24"/>
          <w:lang w:val="en-US" w:eastAsia="en-US"/>
        </w:rPr>
        <w:t>5</w:t>
      </w:r>
      <w:proofErr w:type="gramEnd"/>
      <w:r w:rsidRPr="00A87369">
        <w:rPr>
          <w:rFonts w:eastAsia="Times New Roman" w:cs="Arial"/>
          <w:sz w:val="24"/>
          <w:szCs w:val="24"/>
          <w:lang w:val="en-US" w:eastAsia="en-US"/>
        </w:rPr>
        <w:t>%,1</w:t>
      </w:r>
      <w:r w:rsidR="00AB17A2">
        <w:rPr>
          <w:rFonts w:eastAsia="Times New Roman" w:cs="Arial"/>
          <w:sz w:val="24"/>
          <w:szCs w:val="24"/>
          <w:lang w:val="en-US" w:eastAsia="en-US"/>
        </w:rPr>
        <w:t>,</w:t>
      </w:r>
      <w:r w:rsidRPr="00A87369">
        <w:rPr>
          <w:rFonts w:eastAsia="Times New Roman" w:cs="Arial"/>
          <w:sz w:val="24"/>
          <w:szCs w:val="24"/>
          <w:lang w:val="en-US" w:eastAsia="en-US"/>
        </w:rPr>
        <w:t>5%, 0</w:t>
      </w:r>
      <w:r w:rsidR="00AB17A2">
        <w:rPr>
          <w:rFonts w:eastAsia="Times New Roman" w:cs="Arial"/>
          <w:sz w:val="24"/>
          <w:szCs w:val="24"/>
          <w:lang w:val="en-US" w:eastAsia="en-US"/>
        </w:rPr>
        <w:t>,</w:t>
      </w:r>
      <w:r w:rsidRPr="00A87369">
        <w:rPr>
          <w:rFonts w:eastAsia="Times New Roman" w:cs="Arial"/>
          <w:sz w:val="24"/>
          <w:szCs w:val="24"/>
          <w:lang w:val="en-US" w:eastAsia="en-US"/>
        </w:rPr>
        <w:t>5% and 0</w:t>
      </w:r>
      <w:r w:rsidR="00AB17A2">
        <w:rPr>
          <w:rFonts w:eastAsia="Times New Roman" w:cs="Arial"/>
          <w:sz w:val="24"/>
          <w:szCs w:val="24"/>
          <w:lang w:val="en-US" w:eastAsia="en-US"/>
        </w:rPr>
        <w:t>,</w:t>
      </w:r>
      <w:r w:rsidRPr="00A87369">
        <w:rPr>
          <w:rFonts w:eastAsia="Times New Roman" w:cs="Arial"/>
          <w:sz w:val="24"/>
          <w:szCs w:val="24"/>
          <w:lang w:val="en-US" w:eastAsia="en-US"/>
        </w:rPr>
        <w:t>2% respectively. Meanwhile agriculture employment in Western Cape, Northern Cape, North West, KwaZulu-Natal and Eastern Cape decreased by 14</w:t>
      </w:r>
      <w:r w:rsidR="00AB17A2">
        <w:rPr>
          <w:rFonts w:eastAsia="Times New Roman" w:cs="Arial"/>
          <w:sz w:val="24"/>
          <w:szCs w:val="24"/>
          <w:lang w:val="en-US" w:eastAsia="en-US"/>
        </w:rPr>
        <w:t>,</w:t>
      </w:r>
      <w:r w:rsidRPr="00A87369">
        <w:rPr>
          <w:rFonts w:eastAsia="Times New Roman" w:cs="Arial"/>
          <w:sz w:val="24"/>
          <w:szCs w:val="24"/>
          <w:lang w:val="en-US" w:eastAsia="en-US"/>
        </w:rPr>
        <w:t>2%10</w:t>
      </w:r>
      <w:r w:rsidR="00AB17A2">
        <w:rPr>
          <w:rFonts w:eastAsia="Times New Roman" w:cs="Arial"/>
          <w:sz w:val="24"/>
          <w:szCs w:val="24"/>
          <w:lang w:val="en-US" w:eastAsia="en-US"/>
        </w:rPr>
        <w:t>,</w:t>
      </w:r>
      <w:r w:rsidRPr="00A87369">
        <w:rPr>
          <w:rFonts w:eastAsia="Times New Roman" w:cs="Arial"/>
          <w:sz w:val="24"/>
          <w:szCs w:val="24"/>
          <w:lang w:val="en-US" w:eastAsia="en-US"/>
        </w:rPr>
        <w:t>3%, 8</w:t>
      </w:r>
      <w:r w:rsidR="00AB17A2">
        <w:rPr>
          <w:rFonts w:eastAsia="Times New Roman" w:cs="Arial"/>
          <w:sz w:val="24"/>
          <w:szCs w:val="24"/>
          <w:lang w:val="en-US" w:eastAsia="en-US"/>
        </w:rPr>
        <w:t>,</w:t>
      </w:r>
      <w:r w:rsidRPr="00A87369">
        <w:rPr>
          <w:rFonts w:eastAsia="Times New Roman" w:cs="Arial"/>
          <w:sz w:val="24"/>
          <w:szCs w:val="24"/>
          <w:lang w:val="en-US" w:eastAsia="en-US"/>
        </w:rPr>
        <w:t>8%, 3</w:t>
      </w:r>
      <w:r w:rsidR="00AB17A2">
        <w:rPr>
          <w:rFonts w:eastAsia="Times New Roman" w:cs="Arial"/>
          <w:sz w:val="24"/>
          <w:szCs w:val="24"/>
          <w:lang w:val="en-US" w:eastAsia="en-US"/>
        </w:rPr>
        <w:t>,</w:t>
      </w:r>
      <w:r w:rsidRPr="00A87369">
        <w:rPr>
          <w:rFonts w:eastAsia="Times New Roman" w:cs="Arial"/>
          <w:sz w:val="24"/>
          <w:szCs w:val="24"/>
          <w:lang w:val="en-US" w:eastAsia="en-US"/>
        </w:rPr>
        <w:t>1% and 1</w:t>
      </w:r>
      <w:r w:rsidR="00AB17A2">
        <w:rPr>
          <w:rFonts w:eastAsia="Times New Roman" w:cs="Arial"/>
          <w:sz w:val="24"/>
          <w:szCs w:val="24"/>
          <w:lang w:val="en-US" w:eastAsia="en-US"/>
        </w:rPr>
        <w:t>,</w:t>
      </w:r>
      <w:r w:rsidRPr="00A87369">
        <w:rPr>
          <w:rFonts w:eastAsia="Times New Roman" w:cs="Arial"/>
          <w:sz w:val="24"/>
          <w:szCs w:val="24"/>
          <w:lang w:val="en-US" w:eastAsia="en-US"/>
        </w:rPr>
        <w:t xml:space="preserve">7% respectively between the two quarters. </w:t>
      </w:r>
    </w:p>
    <w:p w:rsidR="00A87369" w:rsidRPr="00A87369" w:rsidRDefault="00A87369" w:rsidP="002D3BFD">
      <w:pPr>
        <w:autoSpaceDE w:val="0"/>
        <w:autoSpaceDN w:val="0"/>
        <w:adjustRightInd w:val="0"/>
        <w:spacing w:after="0" w:line="240" w:lineRule="auto"/>
        <w:jc w:val="both"/>
        <w:rPr>
          <w:rFonts w:eastAsia="Times New Roman" w:cs="Arial"/>
          <w:color w:val="000000"/>
          <w:sz w:val="24"/>
          <w:szCs w:val="24"/>
          <w:lang w:val="en-US" w:eastAsia="en-US"/>
        </w:rPr>
      </w:pPr>
      <w:r w:rsidRPr="00A87369">
        <w:rPr>
          <w:rFonts w:eastAsia="Times New Roman" w:cs="Arial"/>
          <w:noProof/>
          <w:color w:val="000000"/>
          <w:sz w:val="24"/>
          <w:szCs w:val="24"/>
        </w:rPr>
        <w:drawing>
          <wp:inline distT="0" distB="0" distL="0" distR="0" wp14:anchorId="7E5A76F0" wp14:editId="6F91CB59">
            <wp:extent cx="5676900" cy="2800350"/>
            <wp:effectExtent l="19050" t="0" r="19050" b="0"/>
            <wp:docPr id="15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87369" w:rsidRPr="009437BF" w:rsidRDefault="00A87369" w:rsidP="002D3BFD">
      <w:pPr>
        <w:pStyle w:val="Heading3"/>
        <w:spacing w:before="0" w:line="240" w:lineRule="auto"/>
      </w:pPr>
      <w:bookmarkStart w:id="100" w:name="_Toc489345750"/>
      <w:bookmarkStart w:id="101" w:name="_Toc489345955"/>
      <w:bookmarkStart w:id="102" w:name="_Toc489537711"/>
      <w:r w:rsidRPr="009437BF">
        <w:rPr>
          <w:rStyle w:val="Heading3Char"/>
          <w:b/>
          <w:bCs/>
        </w:rPr>
        <w:t>Figure 10:</w:t>
      </w:r>
      <w:r w:rsidRPr="002D3BFD">
        <w:rPr>
          <w:rStyle w:val="Heading3Char"/>
          <w:bCs/>
        </w:rPr>
        <w:t xml:space="preserve"> Provincial agriculture employment between fourth quarter of</w:t>
      </w:r>
      <w:r w:rsidR="000A713E" w:rsidRPr="002D3BFD">
        <w:rPr>
          <w:rStyle w:val="Heading3Char"/>
          <w:bCs/>
        </w:rPr>
        <w:t xml:space="preserve"> 2016 and first quarter of 2017</w:t>
      </w:r>
      <w:r w:rsidRPr="002D3BFD">
        <w:t xml:space="preserve">                           </w:t>
      </w:r>
      <w:r w:rsidRPr="009437BF">
        <w:t>Source: DAFF</w:t>
      </w:r>
      <w:bookmarkEnd w:id="100"/>
      <w:bookmarkEnd w:id="101"/>
      <w:bookmarkEnd w:id="102"/>
    </w:p>
    <w:p w:rsidR="00203CD9" w:rsidRPr="00203CD9" w:rsidRDefault="00203CD9" w:rsidP="00203CD9">
      <w:pPr>
        <w:autoSpaceDE w:val="0"/>
        <w:autoSpaceDN w:val="0"/>
        <w:adjustRightInd w:val="0"/>
        <w:spacing w:after="0" w:line="360" w:lineRule="auto"/>
        <w:jc w:val="both"/>
        <w:rPr>
          <w:rFonts w:eastAsia="Times New Roman" w:cs="Arial"/>
          <w:b/>
          <w:color w:val="000000"/>
          <w:szCs w:val="18"/>
          <w:lang w:val="en-US" w:eastAsia="en-US"/>
        </w:rPr>
      </w:pPr>
    </w:p>
    <w:p w:rsidR="00A87369" w:rsidRPr="00A87369" w:rsidRDefault="00A87369" w:rsidP="00A87369">
      <w:pPr>
        <w:autoSpaceDE w:val="0"/>
        <w:autoSpaceDN w:val="0"/>
        <w:adjustRightInd w:val="0"/>
        <w:spacing w:after="0" w:line="360" w:lineRule="auto"/>
        <w:jc w:val="both"/>
        <w:rPr>
          <w:rFonts w:eastAsia="Times New Roman" w:cs="Arial"/>
          <w:sz w:val="24"/>
          <w:szCs w:val="24"/>
          <w:lang w:val="en-US" w:eastAsia="en-US"/>
        </w:rPr>
      </w:pPr>
      <w:r w:rsidRPr="00A87369">
        <w:rPr>
          <w:rFonts w:eastAsia="Times New Roman" w:cs="Arial"/>
          <w:sz w:val="24"/>
          <w:szCs w:val="24"/>
          <w:lang w:val="en-US" w:eastAsia="en-US"/>
        </w:rPr>
        <w:t>The 2017 first quarter (QLFS) also indicated that 2</w:t>
      </w:r>
      <w:r w:rsidR="00AB17A2">
        <w:rPr>
          <w:rFonts w:eastAsia="Times New Roman" w:cs="Arial"/>
          <w:sz w:val="24"/>
          <w:szCs w:val="24"/>
          <w:lang w:val="en-US" w:eastAsia="en-US"/>
        </w:rPr>
        <w:t>,</w:t>
      </w:r>
      <w:r w:rsidRPr="00A87369">
        <w:rPr>
          <w:rFonts w:eastAsia="Times New Roman" w:cs="Arial"/>
          <w:sz w:val="24"/>
          <w:szCs w:val="24"/>
          <w:lang w:val="en-US" w:eastAsia="en-US"/>
        </w:rPr>
        <w:t>1 million people were involved in subsistence farming in the first quarter of 2017 compared to 1</w:t>
      </w:r>
      <w:r w:rsidR="00AB17A2">
        <w:rPr>
          <w:rFonts w:eastAsia="Times New Roman" w:cs="Arial"/>
          <w:sz w:val="24"/>
          <w:szCs w:val="24"/>
          <w:lang w:val="en-US" w:eastAsia="en-US"/>
        </w:rPr>
        <w:t>,</w:t>
      </w:r>
      <w:r w:rsidRPr="00A87369">
        <w:rPr>
          <w:rFonts w:eastAsia="Times New Roman" w:cs="Arial"/>
          <w:sz w:val="24"/>
          <w:szCs w:val="24"/>
          <w:lang w:val="en-US" w:eastAsia="en-US"/>
        </w:rPr>
        <w:t>9 million people in the previous quarter, a</w:t>
      </w:r>
      <w:r w:rsidR="00AB17A2">
        <w:rPr>
          <w:rFonts w:eastAsia="Times New Roman" w:cs="Arial"/>
          <w:sz w:val="24"/>
          <w:szCs w:val="24"/>
          <w:lang w:val="en-US" w:eastAsia="en-US"/>
        </w:rPr>
        <w:t>n</w:t>
      </w:r>
      <w:r w:rsidRPr="00A87369">
        <w:rPr>
          <w:rFonts w:eastAsia="Times New Roman" w:cs="Arial"/>
          <w:sz w:val="24"/>
          <w:szCs w:val="24"/>
          <w:lang w:val="en-US" w:eastAsia="en-US"/>
        </w:rPr>
        <w:t xml:space="preserve"> increase of 10</w:t>
      </w:r>
      <w:r w:rsidR="00AB17A2">
        <w:rPr>
          <w:rFonts w:eastAsia="Times New Roman" w:cs="Arial"/>
          <w:sz w:val="24"/>
          <w:szCs w:val="24"/>
          <w:lang w:val="en-US" w:eastAsia="en-US"/>
        </w:rPr>
        <w:t>,</w:t>
      </w:r>
      <w:r w:rsidRPr="00A87369">
        <w:rPr>
          <w:rFonts w:eastAsia="Times New Roman" w:cs="Arial"/>
          <w:sz w:val="24"/>
          <w:szCs w:val="24"/>
          <w:lang w:val="en-US" w:eastAsia="en-US"/>
        </w:rPr>
        <w:t>4%. Figure 11 below illustrate the number of people involved in subsistence farming in all provinces in the first quarter of 2017 compared to the previous quarter. KwaZulu-Natal had the highest number (880 000) people involved in subsistence farming compared to (887 000) in the previous quarter, a decrease of 0</w:t>
      </w:r>
      <w:proofErr w:type="gramStart"/>
      <w:r w:rsidR="00AB17A2">
        <w:rPr>
          <w:rFonts w:eastAsia="Times New Roman" w:cs="Arial"/>
          <w:sz w:val="24"/>
          <w:szCs w:val="24"/>
          <w:lang w:val="en-US" w:eastAsia="en-US"/>
        </w:rPr>
        <w:t>,</w:t>
      </w:r>
      <w:r w:rsidRPr="00A87369">
        <w:rPr>
          <w:rFonts w:eastAsia="Times New Roman" w:cs="Arial"/>
          <w:sz w:val="24"/>
          <w:szCs w:val="24"/>
          <w:lang w:val="en-US" w:eastAsia="en-US"/>
        </w:rPr>
        <w:t>8</w:t>
      </w:r>
      <w:proofErr w:type="gramEnd"/>
      <w:r w:rsidRPr="00A87369">
        <w:rPr>
          <w:rFonts w:eastAsia="Times New Roman" w:cs="Arial"/>
          <w:sz w:val="24"/>
          <w:szCs w:val="24"/>
          <w:lang w:val="en-US" w:eastAsia="en-US"/>
        </w:rPr>
        <w:t xml:space="preserve">%. Meanwhile, Eastern </w:t>
      </w:r>
      <w:proofErr w:type="gramStart"/>
      <w:r w:rsidRPr="00A87369">
        <w:rPr>
          <w:rFonts w:eastAsia="Times New Roman" w:cs="Arial"/>
          <w:sz w:val="24"/>
          <w:szCs w:val="24"/>
          <w:lang w:val="en-US" w:eastAsia="en-US"/>
        </w:rPr>
        <w:t>Cape  had</w:t>
      </w:r>
      <w:proofErr w:type="gramEnd"/>
      <w:r w:rsidRPr="00A87369">
        <w:rPr>
          <w:rFonts w:eastAsia="Times New Roman" w:cs="Arial"/>
          <w:sz w:val="24"/>
          <w:szCs w:val="24"/>
          <w:lang w:val="en-US" w:eastAsia="en-US"/>
        </w:rPr>
        <w:t xml:space="preserve"> (553 000) people involved in subsistence farming compared to (467 000) in the  previous quarter, an increase of 18</w:t>
      </w:r>
      <w:r w:rsidR="00AB17A2">
        <w:rPr>
          <w:rFonts w:eastAsia="Times New Roman" w:cs="Arial"/>
          <w:sz w:val="24"/>
          <w:szCs w:val="24"/>
          <w:lang w:val="en-US" w:eastAsia="en-US"/>
        </w:rPr>
        <w:t>,</w:t>
      </w:r>
      <w:r w:rsidRPr="00A87369">
        <w:rPr>
          <w:rFonts w:eastAsia="Times New Roman" w:cs="Arial"/>
          <w:sz w:val="24"/>
          <w:szCs w:val="24"/>
          <w:lang w:val="en-US" w:eastAsia="en-US"/>
        </w:rPr>
        <w:t>3%. During the same period Limpopo had (271 000) people involved in subsistence farming compared to (193 000) people, an increase of 40</w:t>
      </w:r>
      <w:proofErr w:type="gramStart"/>
      <w:r w:rsidR="00AB17A2">
        <w:rPr>
          <w:rFonts w:eastAsia="Times New Roman" w:cs="Arial"/>
          <w:sz w:val="24"/>
          <w:szCs w:val="24"/>
          <w:lang w:val="en-US" w:eastAsia="en-US"/>
        </w:rPr>
        <w:t>,</w:t>
      </w:r>
      <w:r w:rsidRPr="00A87369">
        <w:rPr>
          <w:rFonts w:eastAsia="Times New Roman" w:cs="Arial"/>
          <w:sz w:val="24"/>
          <w:szCs w:val="24"/>
          <w:lang w:val="en-US" w:eastAsia="en-US"/>
        </w:rPr>
        <w:t>5</w:t>
      </w:r>
      <w:proofErr w:type="gramEnd"/>
      <w:r w:rsidRPr="00A87369">
        <w:rPr>
          <w:rFonts w:eastAsia="Times New Roman" w:cs="Arial"/>
          <w:sz w:val="24"/>
          <w:szCs w:val="24"/>
          <w:lang w:val="en-US" w:eastAsia="en-US"/>
        </w:rPr>
        <w:t xml:space="preserve">%, Mpumalanga had (179 000) people involved in subsistence farming compared to (137 000) people. The number of people involved in subsistence farming in Free State increased from (95 000) in the fourth quarter of </w:t>
      </w:r>
      <w:proofErr w:type="gramStart"/>
      <w:r w:rsidRPr="00A87369">
        <w:rPr>
          <w:rFonts w:eastAsia="Times New Roman" w:cs="Arial"/>
          <w:sz w:val="24"/>
          <w:szCs w:val="24"/>
          <w:lang w:val="en-US" w:eastAsia="en-US"/>
        </w:rPr>
        <w:t>2016  to</w:t>
      </w:r>
      <w:proofErr w:type="gramEnd"/>
      <w:r w:rsidRPr="00A87369">
        <w:rPr>
          <w:rFonts w:eastAsia="Times New Roman" w:cs="Arial"/>
          <w:sz w:val="24"/>
          <w:szCs w:val="24"/>
          <w:lang w:val="en-US" w:eastAsia="en-US"/>
        </w:rPr>
        <w:t xml:space="preserve"> (97 000) people in the first quarter of 2017. The number of people involved in subsistence farming in Northern Cape increased to (23 000) in the first quarter compared to (18 000) in the last quarter of 2016 between the two quarters. The number of people involved in subsistence farming in Gauteng decreased from (23 000) to (21 000) during the same period, while the number of people involved in subsistence farming in North West  decreased  from ( 61 000) to ( 57 000) between the two quarters. </w:t>
      </w:r>
    </w:p>
    <w:p w:rsidR="00203CD9" w:rsidRDefault="00A87369" w:rsidP="002D3BFD">
      <w:pPr>
        <w:shd w:val="clear" w:color="auto" w:fill="FFFFFF"/>
        <w:spacing w:after="0" w:line="240" w:lineRule="auto"/>
        <w:jc w:val="both"/>
        <w:rPr>
          <w:rFonts w:eastAsia="Times New Roman" w:cs="Arial"/>
          <w:b/>
          <w:szCs w:val="18"/>
          <w:lang w:val="en-GB" w:eastAsia="en-US"/>
        </w:rPr>
      </w:pPr>
      <w:r w:rsidRPr="00A87369">
        <w:rPr>
          <w:rFonts w:eastAsia="Times New Roman" w:cs="Arial"/>
          <w:noProof/>
          <w:sz w:val="24"/>
          <w:szCs w:val="24"/>
        </w:rPr>
        <w:drawing>
          <wp:inline distT="0" distB="0" distL="0" distR="0" wp14:anchorId="47330068" wp14:editId="0AA35EFD">
            <wp:extent cx="5619750" cy="2771775"/>
            <wp:effectExtent l="19050" t="0" r="19050" b="0"/>
            <wp:docPr id="16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87369" w:rsidRPr="00203CD9" w:rsidRDefault="00A87369" w:rsidP="002D3BFD">
      <w:pPr>
        <w:pStyle w:val="Heading3"/>
        <w:spacing w:before="0" w:line="240" w:lineRule="auto"/>
        <w:rPr>
          <w:rFonts w:eastAsia="Times New Roman"/>
          <w:lang w:val="en-GB" w:eastAsia="en-GB"/>
        </w:rPr>
      </w:pPr>
      <w:bookmarkStart w:id="103" w:name="_Toc489345751"/>
      <w:bookmarkStart w:id="104" w:name="_Toc489345956"/>
      <w:bookmarkStart w:id="105" w:name="_Toc489537712"/>
      <w:r w:rsidRPr="00203CD9">
        <w:rPr>
          <w:rFonts w:eastAsia="Times New Roman"/>
          <w:b/>
          <w:lang w:val="en-GB" w:eastAsia="en-US"/>
        </w:rPr>
        <w:t>Figure 11:</w:t>
      </w:r>
      <w:r w:rsidRPr="00203CD9">
        <w:rPr>
          <w:rFonts w:eastAsia="Times New Roman"/>
          <w:lang w:val="en-GB" w:eastAsia="en-US"/>
        </w:rPr>
        <w:t xml:space="preserve"> Provincial number of people involved in subsistence farming between the </w:t>
      </w:r>
      <w:proofErr w:type="gramStart"/>
      <w:r w:rsidRPr="00203CD9">
        <w:rPr>
          <w:rFonts w:eastAsia="Times New Roman"/>
          <w:lang w:val="en-GB" w:eastAsia="en-US"/>
        </w:rPr>
        <w:t>fourth  quarter</w:t>
      </w:r>
      <w:proofErr w:type="gramEnd"/>
      <w:r w:rsidRPr="00203CD9">
        <w:rPr>
          <w:rFonts w:eastAsia="Times New Roman"/>
          <w:lang w:val="en-GB" w:eastAsia="en-US"/>
        </w:rPr>
        <w:t xml:space="preserve"> of 2016 and first quarter of 2017</w:t>
      </w:r>
      <w:bookmarkEnd w:id="103"/>
      <w:bookmarkEnd w:id="104"/>
      <w:bookmarkEnd w:id="105"/>
    </w:p>
    <w:p w:rsidR="00A87369" w:rsidRPr="009437BF" w:rsidRDefault="00A87369" w:rsidP="009437BF">
      <w:pPr>
        <w:rPr>
          <w:rFonts w:eastAsia="Times New Roman" w:cs="Arial"/>
          <w:szCs w:val="18"/>
          <w:lang w:val="en-GB" w:eastAsia="en-GB"/>
        </w:rPr>
      </w:pPr>
      <w:bookmarkStart w:id="106" w:name="_Toc489345752"/>
      <w:bookmarkStart w:id="107" w:name="_Toc489345957"/>
      <w:r w:rsidRPr="009437BF">
        <w:rPr>
          <w:rFonts w:eastAsia="Times New Roman" w:cs="Arial"/>
          <w:szCs w:val="18"/>
          <w:lang w:val="en-GB" w:eastAsia="en-GB"/>
        </w:rPr>
        <w:t>Source: DAFF</w:t>
      </w:r>
      <w:bookmarkEnd w:id="106"/>
      <w:bookmarkEnd w:id="107"/>
    </w:p>
    <w:p w:rsidR="00C939D5" w:rsidRPr="000E7BFA" w:rsidRDefault="00C939D5" w:rsidP="002D3BFD">
      <w:pPr>
        <w:pStyle w:val="Heading2"/>
        <w:spacing w:line="360" w:lineRule="auto"/>
        <w:rPr>
          <w:rFonts w:eastAsia="Times New Roman"/>
          <w:lang w:val="en-GB" w:eastAsia="en-GB"/>
        </w:rPr>
      </w:pPr>
      <w:bookmarkStart w:id="108" w:name="_Toc489345753"/>
      <w:bookmarkStart w:id="109" w:name="_Toc489345958"/>
      <w:bookmarkStart w:id="110" w:name="_Toc489537713"/>
      <w:r w:rsidRPr="000E7BFA">
        <w:rPr>
          <w:rFonts w:eastAsia="Times New Roman"/>
          <w:lang w:val="en-GB"/>
        </w:rPr>
        <w:t>2.4 E</w:t>
      </w:r>
      <w:r w:rsidRPr="000E7BFA">
        <w:rPr>
          <w:rFonts w:eastAsia="Times New Roman"/>
          <w:lang w:val="en-GB" w:eastAsia="en-GB"/>
        </w:rPr>
        <w:t>xpenditure on intermediate goods and services by the agricultural sector</w:t>
      </w:r>
      <w:bookmarkEnd w:id="108"/>
      <w:bookmarkEnd w:id="109"/>
      <w:bookmarkEnd w:id="110"/>
    </w:p>
    <w:p w:rsidR="00C939D5" w:rsidRPr="000E7BFA" w:rsidRDefault="00C939D5" w:rsidP="002D3BFD">
      <w:pPr>
        <w:spacing w:after="0" w:line="360" w:lineRule="auto"/>
        <w:jc w:val="both"/>
        <w:rPr>
          <w:rFonts w:eastAsia="Times New Roman" w:cs="Arial"/>
          <w:sz w:val="24"/>
          <w:szCs w:val="24"/>
          <w:lang w:val="en-GB" w:eastAsia="en-GB"/>
        </w:rPr>
      </w:pPr>
      <w:r w:rsidRPr="000E7BFA">
        <w:rPr>
          <w:rFonts w:eastAsia="Times New Roman" w:cs="Arial"/>
          <w:sz w:val="24"/>
          <w:szCs w:val="24"/>
          <w:lang w:val="en-GB" w:eastAsia="en-GB"/>
        </w:rPr>
        <w:t>The total expenditure on intermediate goods and services was reported at R3</w:t>
      </w:r>
      <w:r>
        <w:rPr>
          <w:rFonts w:eastAsia="Times New Roman" w:cs="Arial"/>
          <w:sz w:val="24"/>
          <w:szCs w:val="24"/>
          <w:lang w:val="en-GB" w:eastAsia="en-GB"/>
        </w:rPr>
        <w:t>15</w:t>
      </w:r>
      <w:r w:rsidR="00AB17A2">
        <w:rPr>
          <w:rFonts w:eastAsia="Times New Roman" w:cs="Arial"/>
          <w:sz w:val="24"/>
          <w:szCs w:val="24"/>
          <w:lang w:val="en-GB" w:eastAsia="en-GB"/>
        </w:rPr>
        <w:t>,</w:t>
      </w:r>
      <w:r>
        <w:rPr>
          <w:rFonts w:eastAsia="Times New Roman" w:cs="Arial"/>
          <w:sz w:val="24"/>
          <w:szCs w:val="24"/>
          <w:lang w:val="en-GB" w:eastAsia="en-GB"/>
        </w:rPr>
        <w:t>8</w:t>
      </w:r>
      <w:r w:rsidRPr="000E7BFA">
        <w:rPr>
          <w:rFonts w:eastAsia="Times New Roman" w:cs="Arial"/>
          <w:sz w:val="24"/>
          <w:szCs w:val="24"/>
          <w:lang w:val="en-GB" w:eastAsia="en-GB"/>
        </w:rPr>
        <w:t xml:space="preserve"> billion in the </w:t>
      </w:r>
      <w:r>
        <w:rPr>
          <w:rFonts w:eastAsia="Times New Roman" w:cs="Arial"/>
          <w:sz w:val="24"/>
          <w:szCs w:val="24"/>
          <w:lang w:val="en-GB" w:eastAsia="en-GB"/>
        </w:rPr>
        <w:t>first</w:t>
      </w:r>
      <w:r w:rsidRPr="000E7BFA">
        <w:rPr>
          <w:rFonts w:eastAsia="Times New Roman" w:cs="Arial"/>
          <w:sz w:val="24"/>
          <w:szCs w:val="24"/>
          <w:lang w:val="en-GB" w:eastAsia="en-GB"/>
        </w:rPr>
        <w:t xml:space="preserve"> quarter of 201</w:t>
      </w:r>
      <w:r>
        <w:rPr>
          <w:rFonts w:eastAsia="Times New Roman" w:cs="Arial"/>
          <w:sz w:val="24"/>
          <w:szCs w:val="24"/>
          <w:lang w:val="en-GB" w:eastAsia="en-GB"/>
        </w:rPr>
        <w:t>7</w:t>
      </w:r>
      <w:r w:rsidRPr="000E7BFA">
        <w:rPr>
          <w:rFonts w:eastAsia="Times New Roman" w:cs="Arial"/>
          <w:sz w:val="24"/>
          <w:szCs w:val="24"/>
          <w:lang w:val="en-GB" w:eastAsia="en-GB"/>
        </w:rPr>
        <w:t xml:space="preserve"> compared to R3</w:t>
      </w:r>
      <w:r>
        <w:rPr>
          <w:rFonts w:eastAsia="Times New Roman" w:cs="Arial"/>
          <w:sz w:val="24"/>
          <w:szCs w:val="24"/>
          <w:lang w:val="en-GB" w:eastAsia="en-GB"/>
        </w:rPr>
        <w:t>61</w:t>
      </w:r>
      <w:r w:rsidR="00AB17A2">
        <w:rPr>
          <w:rFonts w:eastAsia="Times New Roman" w:cs="Arial"/>
          <w:sz w:val="24"/>
          <w:szCs w:val="24"/>
          <w:lang w:val="en-GB" w:eastAsia="en-GB"/>
        </w:rPr>
        <w:t>,</w:t>
      </w:r>
      <w:r>
        <w:rPr>
          <w:rFonts w:eastAsia="Times New Roman" w:cs="Arial"/>
          <w:sz w:val="24"/>
          <w:szCs w:val="24"/>
          <w:lang w:val="en-GB" w:eastAsia="en-GB"/>
        </w:rPr>
        <w:t>5</w:t>
      </w:r>
      <w:r w:rsidRPr="000E7BFA">
        <w:rPr>
          <w:rFonts w:eastAsia="Times New Roman" w:cs="Arial"/>
          <w:sz w:val="24"/>
          <w:szCs w:val="24"/>
          <w:lang w:val="en-GB" w:eastAsia="en-GB"/>
        </w:rPr>
        <w:t xml:space="preserve"> billion in the previous quarter, a </w:t>
      </w:r>
      <w:r>
        <w:rPr>
          <w:rFonts w:eastAsia="Times New Roman" w:cs="Arial"/>
          <w:sz w:val="24"/>
          <w:szCs w:val="24"/>
          <w:lang w:val="en-GB" w:eastAsia="en-GB"/>
        </w:rPr>
        <w:t>de</w:t>
      </w:r>
      <w:r w:rsidRPr="000E7BFA">
        <w:rPr>
          <w:rFonts w:eastAsia="Times New Roman" w:cs="Arial"/>
          <w:sz w:val="24"/>
          <w:szCs w:val="24"/>
          <w:lang w:val="en-GB" w:eastAsia="en-GB"/>
        </w:rPr>
        <w:t xml:space="preserve">crease of </w:t>
      </w:r>
      <w:r>
        <w:rPr>
          <w:rFonts w:eastAsia="Times New Roman" w:cs="Arial"/>
          <w:sz w:val="24"/>
          <w:szCs w:val="24"/>
          <w:lang w:val="en-GB" w:eastAsia="en-GB"/>
        </w:rPr>
        <w:t>12</w:t>
      </w:r>
      <w:r w:rsidR="00AB17A2">
        <w:rPr>
          <w:rFonts w:eastAsia="Times New Roman" w:cs="Arial"/>
          <w:sz w:val="24"/>
          <w:szCs w:val="24"/>
          <w:lang w:val="en-GB" w:eastAsia="en-GB"/>
        </w:rPr>
        <w:t>,</w:t>
      </w:r>
      <w:r>
        <w:rPr>
          <w:rFonts w:eastAsia="Times New Roman" w:cs="Arial"/>
          <w:sz w:val="24"/>
          <w:szCs w:val="24"/>
          <w:lang w:val="en-GB" w:eastAsia="en-GB"/>
        </w:rPr>
        <w:t>6</w:t>
      </w:r>
      <w:r w:rsidRPr="000E7BFA">
        <w:rPr>
          <w:rFonts w:eastAsia="Times New Roman" w:cs="Arial"/>
          <w:sz w:val="24"/>
          <w:szCs w:val="24"/>
          <w:lang w:val="en-GB" w:eastAsia="en-GB"/>
        </w:rPr>
        <w:t xml:space="preserve">%. Compared to a year ago the total expenditure on intermediate goods and services increased by </w:t>
      </w:r>
      <w:r>
        <w:rPr>
          <w:rFonts w:eastAsia="Times New Roman" w:cs="Arial"/>
          <w:sz w:val="24"/>
          <w:szCs w:val="24"/>
          <w:lang w:val="en-GB" w:eastAsia="en-GB"/>
        </w:rPr>
        <w:t>6</w:t>
      </w:r>
      <w:proofErr w:type="gramStart"/>
      <w:r w:rsidR="00AB17A2">
        <w:rPr>
          <w:rFonts w:eastAsia="Times New Roman" w:cs="Arial"/>
          <w:sz w:val="24"/>
          <w:szCs w:val="24"/>
          <w:lang w:val="en-GB" w:eastAsia="en-GB"/>
        </w:rPr>
        <w:t>,</w:t>
      </w:r>
      <w:r>
        <w:rPr>
          <w:rFonts w:eastAsia="Times New Roman" w:cs="Arial"/>
          <w:sz w:val="24"/>
          <w:szCs w:val="24"/>
          <w:lang w:val="en-GB" w:eastAsia="en-GB"/>
        </w:rPr>
        <w:t>9</w:t>
      </w:r>
      <w:proofErr w:type="gramEnd"/>
      <w:r>
        <w:rPr>
          <w:rFonts w:eastAsia="Times New Roman" w:cs="Arial"/>
          <w:sz w:val="24"/>
          <w:szCs w:val="24"/>
          <w:lang w:val="en-GB" w:eastAsia="en-GB"/>
        </w:rPr>
        <w:t>% from R295</w:t>
      </w:r>
      <w:r w:rsidR="00AB17A2">
        <w:rPr>
          <w:rFonts w:eastAsia="Times New Roman" w:cs="Arial"/>
          <w:sz w:val="24"/>
          <w:szCs w:val="24"/>
          <w:lang w:val="en-GB" w:eastAsia="en-GB"/>
        </w:rPr>
        <w:t>,</w:t>
      </w:r>
      <w:r>
        <w:rPr>
          <w:rFonts w:eastAsia="Times New Roman" w:cs="Arial"/>
          <w:sz w:val="24"/>
          <w:szCs w:val="24"/>
          <w:lang w:val="en-GB" w:eastAsia="en-GB"/>
        </w:rPr>
        <w:t>5</w:t>
      </w:r>
      <w:r w:rsidRPr="000E7BFA">
        <w:rPr>
          <w:rFonts w:eastAsia="Times New Roman" w:cs="Arial"/>
          <w:sz w:val="24"/>
          <w:szCs w:val="24"/>
          <w:lang w:val="en-GB" w:eastAsia="en-GB"/>
        </w:rPr>
        <w:t xml:space="preserve"> billion in the </w:t>
      </w:r>
      <w:r>
        <w:rPr>
          <w:rFonts w:eastAsia="Times New Roman" w:cs="Arial"/>
          <w:sz w:val="24"/>
          <w:szCs w:val="24"/>
          <w:lang w:val="en-GB" w:eastAsia="en-GB"/>
        </w:rPr>
        <w:t>first</w:t>
      </w:r>
      <w:r w:rsidRPr="000E7BFA">
        <w:rPr>
          <w:rFonts w:eastAsia="Times New Roman" w:cs="Arial"/>
          <w:sz w:val="24"/>
          <w:szCs w:val="24"/>
          <w:lang w:val="en-GB" w:eastAsia="en-GB"/>
        </w:rPr>
        <w:t xml:space="preserve"> quarter of 201</w:t>
      </w:r>
      <w:r>
        <w:rPr>
          <w:rFonts w:eastAsia="Times New Roman" w:cs="Arial"/>
          <w:sz w:val="24"/>
          <w:szCs w:val="24"/>
          <w:lang w:val="en-GB" w:eastAsia="en-GB"/>
        </w:rPr>
        <w:t>6</w:t>
      </w:r>
      <w:r w:rsidRPr="000E7BFA">
        <w:rPr>
          <w:rFonts w:eastAsia="Times New Roman" w:cs="Arial"/>
          <w:sz w:val="24"/>
          <w:szCs w:val="24"/>
          <w:lang w:val="en-GB" w:eastAsia="en-GB"/>
        </w:rPr>
        <w:t xml:space="preserve"> to </w:t>
      </w:r>
      <w:r>
        <w:rPr>
          <w:rFonts w:eastAsia="Times New Roman" w:cs="Arial"/>
          <w:sz w:val="24"/>
          <w:szCs w:val="24"/>
          <w:lang w:val="en-GB" w:eastAsia="en-GB"/>
        </w:rPr>
        <w:t>R315</w:t>
      </w:r>
      <w:r w:rsidR="00AB17A2">
        <w:rPr>
          <w:rFonts w:eastAsia="Times New Roman" w:cs="Arial"/>
          <w:sz w:val="24"/>
          <w:szCs w:val="24"/>
          <w:lang w:val="en-GB" w:eastAsia="en-GB"/>
        </w:rPr>
        <w:t>,</w:t>
      </w:r>
      <w:r>
        <w:rPr>
          <w:rFonts w:eastAsia="Times New Roman" w:cs="Arial"/>
          <w:sz w:val="24"/>
          <w:szCs w:val="24"/>
          <w:lang w:val="en-GB" w:eastAsia="en-GB"/>
        </w:rPr>
        <w:t>8</w:t>
      </w:r>
      <w:r w:rsidRPr="000E7BFA">
        <w:rPr>
          <w:rFonts w:eastAsia="Times New Roman" w:cs="Arial"/>
          <w:sz w:val="24"/>
          <w:szCs w:val="24"/>
          <w:lang w:val="en-GB" w:eastAsia="en-GB"/>
        </w:rPr>
        <w:t xml:space="preserve"> billion in the </w:t>
      </w:r>
      <w:r>
        <w:rPr>
          <w:rFonts w:eastAsia="Times New Roman" w:cs="Arial"/>
          <w:sz w:val="24"/>
          <w:szCs w:val="24"/>
          <w:lang w:val="en-GB" w:eastAsia="en-GB"/>
        </w:rPr>
        <w:t>first</w:t>
      </w:r>
      <w:r w:rsidRPr="000E7BFA">
        <w:rPr>
          <w:rFonts w:eastAsia="Times New Roman" w:cs="Arial"/>
          <w:sz w:val="24"/>
          <w:szCs w:val="24"/>
          <w:lang w:val="en-GB" w:eastAsia="en-GB"/>
        </w:rPr>
        <w:t xml:space="preserve"> quarter of 201</w:t>
      </w:r>
      <w:r>
        <w:rPr>
          <w:rFonts w:eastAsia="Times New Roman" w:cs="Arial"/>
          <w:sz w:val="24"/>
          <w:szCs w:val="24"/>
          <w:lang w:val="en-GB" w:eastAsia="en-GB"/>
        </w:rPr>
        <w:t>7</w:t>
      </w:r>
      <w:r w:rsidRPr="000E7BFA">
        <w:rPr>
          <w:rFonts w:eastAsia="Times New Roman" w:cs="Arial"/>
          <w:sz w:val="24"/>
          <w:szCs w:val="24"/>
          <w:lang w:val="en-GB" w:eastAsia="en-GB"/>
        </w:rPr>
        <w:t>.</w:t>
      </w:r>
    </w:p>
    <w:p w:rsidR="00C939D5" w:rsidRPr="000E7BFA" w:rsidRDefault="00C939D5" w:rsidP="00C939D5">
      <w:pPr>
        <w:spacing w:after="0" w:line="360" w:lineRule="auto"/>
        <w:jc w:val="both"/>
        <w:rPr>
          <w:rFonts w:eastAsia="Times New Roman" w:cs="Arial"/>
          <w:sz w:val="24"/>
          <w:szCs w:val="24"/>
          <w:lang w:val="en-GB" w:eastAsia="en-GB"/>
        </w:rPr>
      </w:pPr>
    </w:p>
    <w:p w:rsidR="00C939D5" w:rsidRDefault="00C939D5" w:rsidP="00C939D5">
      <w:pPr>
        <w:spacing w:after="0" w:line="360" w:lineRule="auto"/>
        <w:jc w:val="both"/>
        <w:rPr>
          <w:rFonts w:eastAsia="Times New Roman" w:cs="Arial"/>
          <w:sz w:val="24"/>
          <w:szCs w:val="24"/>
          <w:lang w:val="en-GB" w:eastAsia="en-GB"/>
        </w:rPr>
      </w:pPr>
      <w:r w:rsidRPr="000E7BFA">
        <w:rPr>
          <w:rFonts w:eastAsia="Times New Roman" w:cs="Arial"/>
          <w:sz w:val="24"/>
          <w:szCs w:val="24"/>
          <w:lang w:val="en-GB" w:eastAsia="en-GB"/>
        </w:rPr>
        <w:t>Figure 12 shows comparison of the total expenditure on fuel, farm feeds, fertili</w:t>
      </w:r>
      <w:r w:rsidR="00AB17A2">
        <w:rPr>
          <w:rFonts w:eastAsia="Times New Roman" w:cs="Arial"/>
          <w:sz w:val="24"/>
          <w:szCs w:val="24"/>
          <w:lang w:val="en-GB" w:eastAsia="en-GB"/>
        </w:rPr>
        <w:t>s</w:t>
      </w:r>
      <w:r w:rsidRPr="000E7BFA">
        <w:rPr>
          <w:rFonts w:eastAsia="Times New Roman" w:cs="Arial"/>
          <w:sz w:val="24"/>
          <w:szCs w:val="24"/>
          <w:lang w:val="en-GB" w:eastAsia="en-GB"/>
        </w:rPr>
        <w:t xml:space="preserve">ers, seeds and plants as well as farm services in the </w:t>
      </w:r>
      <w:r>
        <w:rPr>
          <w:rFonts w:eastAsia="Times New Roman" w:cs="Arial"/>
          <w:sz w:val="24"/>
          <w:szCs w:val="24"/>
          <w:lang w:val="en-GB" w:eastAsia="en-GB"/>
        </w:rPr>
        <w:t>first quarter of 2017</w:t>
      </w:r>
      <w:r w:rsidRPr="000E7BFA">
        <w:rPr>
          <w:rFonts w:eastAsia="Times New Roman" w:cs="Arial"/>
          <w:sz w:val="24"/>
          <w:szCs w:val="24"/>
          <w:lang w:val="en-GB" w:eastAsia="en-GB"/>
        </w:rPr>
        <w:t xml:space="preserve"> compared to the previous quarter. The </w:t>
      </w:r>
      <w:r>
        <w:rPr>
          <w:rFonts w:eastAsia="Times New Roman" w:cs="Arial"/>
          <w:sz w:val="24"/>
          <w:szCs w:val="24"/>
          <w:lang w:val="en-GB" w:eastAsia="en-GB"/>
        </w:rPr>
        <w:t>de</w:t>
      </w:r>
      <w:r w:rsidRPr="000E7BFA">
        <w:rPr>
          <w:rFonts w:eastAsia="Times New Roman" w:cs="Arial"/>
          <w:sz w:val="24"/>
          <w:szCs w:val="24"/>
          <w:lang w:val="en-GB" w:eastAsia="en-GB"/>
        </w:rPr>
        <w:t xml:space="preserve">crease in total expenditure was attributed to the </w:t>
      </w:r>
      <w:r>
        <w:rPr>
          <w:rFonts w:eastAsia="Times New Roman" w:cs="Arial"/>
          <w:sz w:val="24"/>
          <w:szCs w:val="24"/>
          <w:lang w:val="en-GB" w:eastAsia="en-GB"/>
        </w:rPr>
        <w:t>decreas</w:t>
      </w:r>
      <w:r w:rsidRPr="000E7BFA">
        <w:rPr>
          <w:rFonts w:eastAsia="Times New Roman" w:cs="Arial"/>
          <w:sz w:val="24"/>
          <w:szCs w:val="24"/>
          <w:lang w:val="en-GB" w:eastAsia="en-GB"/>
        </w:rPr>
        <w:t xml:space="preserve">e in expenditure on </w:t>
      </w:r>
      <w:r>
        <w:rPr>
          <w:rFonts w:eastAsia="Times New Roman" w:cs="Arial"/>
          <w:sz w:val="24"/>
          <w:szCs w:val="24"/>
          <w:lang w:val="en-GB" w:eastAsia="en-GB"/>
        </w:rPr>
        <w:t>Fuel (-17</w:t>
      </w:r>
      <w:proofErr w:type="gramStart"/>
      <w:r w:rsidR="00AB17A2">
        <w:rPr>
          <w:rFonts w:eastAsia="Times New Roman" w:cs="Arial"/>
          <w:sz w:val="24"/>
          <w:szCs w:val="24"/>
          <w:lang w:val="en-GB" w:eastAsia="en-GB"/>
        </w:rPr>
        <w:t>,</w:t>
      </w:r>
      <w:r>
        <w:rPr>
          <w:rFonts w:eastAsia="Times New Roman" w:cs="Arial"/>
          <w:sz w:val="24"/>
          <w:szCs w:val="24"/>
          <w:lang w:val="en-GB" w:eastAsia="en-GB"/>
        </w:rPr>
        <w:t>0</w:t>
      </w:r>
      <w:proofErr w:type="gramEnd"/>
      <w:r>
        <w:rPr>
          <w:rFonts w:eastAsia="Times New Roman" w:cs="Arial"/>
          <w:sz w:val="24"/>
          <w:szCs w:val="24"/>
          <w:lang w:val="en-GB" w:eastAsia="en-GB"/>
        </w:rPr>
        <w:t xml:space="preserve">), Fertiliser (-18.3), </w:t>
      </w:r>
      <w:r w:rsidRPr="000E7BFA">
        <w:rPr>
          <w:rFonts w:eastAsia="Times New Roman" w:cs="Arial"/>
          <w:sz w:val="24"/>
          <w:szCs w:val="24"/>
          <w:lang w:val="en-GB" w:eastAsia="en-GB"/>
        </w:rPr>
        <w:t>seeds and plants (</w:t>
      </w:r>
      <w:r>
        <w:rPr>
          <w:rFonts w:eastAsia="Times New Roman" w:cs="Arial"/>
          <w:sz w:val="24"/>
          <w:szCs w:val="24"/>
          <w:lang w:val="en-GB" w:eastAsia="en-GB"/>
        </w:rPr>
        <w:t>-26</w:t>
      </w:r>
      <w:r w:rsidR="00AB17A2">
        <w:rPr>
          <w:rFonts w:eastAsia="Times New Roman" w:cs="Arial"/>
          <w:sz w:val="24"/>
          <w:szCs w:val="24"/>
          <w:lang w:val="en-GB" w:eastAsia="en-GB"/>
        </w:rPr>
        <w:t>,</w:t>
      </w:r>
      <w:r>
        <w:rPr>
          <w:rFonts w:eastAsia="Times New Roman" w:cs="Arial"/>
          <w:sz w:val="24"/>
          <w:szCs w:val="24"/>
          <w:lang w:val="en-GB" w:eastAsia="en-GB"/>
        </w:rPr>
        <w:t xml:space="preserve">7) and farm services </w:t>
      </w:r>
      <w:r w:rsidRPr="000E7BFA">
        <w:rPr>
          <w:rFonts w:eastAsia="Times New Roman" w:cs="Arial"/>
          <w:sz w:val="24"/>
          <w:szCs w:val="24"/>
          <w:lang w:val="en-GB" w:eastAsia="en-GB"/>
        </w:rPr>
        <w:t>(</w:t>
      </w:r>
      <w:r>
        <w:rPr>
          <w:rFonts w:eastAsia="Times New Roman" w:cs="Arial"/>
          <w:sz w:val="24"/>
          <w:szCs w:val="24"/>
          <w:lang w:val="en-GB" w:eastAsia="en-GB"/>
        </w:rPr>
        <w:t>-15</w:t>
      </w:r>
      <w:r w:rsidR="00AB17A2">
        <w:rPr>
          <w:rFonts w:eastAsia="Times New Roman" w:cs="Arial"/>
          <w:sz w:val="24"/>
          <w:szCs w:val="24"/>
          <w:lang w:val="en-GB" w:eastAsia="en-GB"/>
        </w:rPr>
        <w:t>,</w:t>
      </w:r>
      <w:r>
        <w:rPr>
          <w:rFonts w:eastAsia="Times New Roman" w:cs="Arial"/>
          <w:sz w:val="24"/>
          <w:szCs w:val="24"/>
          <w:lang w:val="en-GB" w:eastAsia="en-GB"/>
        </w:rPr>
        <w:t xml:space="preserve">2). While the expenditure on </w:t>
      </w:r>
      <w:r w:rsidRPr="000E7BFA">
        <w:rPr>
          <w:rFonts w:eastAsia="Times New Roman" w:cs="Arial"/>
          <w:sz w:val="24"/>
          <w:szCs w:val="24"/>
          <w:lang w:val="en-GB" w:eastAsia="en-GB"/>
        </w:rPr>
        <w:t xml:space="preserve">farm </w:t>
      </w:r>
      <w:r>
        <w:rPr>
          <w:rFonts w:eastAsia="Times New Roman" w:cs="Arial"/>
          <w:sz w:val="24"/>
          <w:szCs w:val="24"/>
          <w:lang w:val="en-GB" w:eastAsia="en-GB"/>
        </w:rPr>
        <w:t>feeds in</w:t>
      </w:r>
      <w:r w:rsidRPr="000E7BFA">
        <w:rPr>
          <w:rFonts w:eastAsia="Times New Roman" w:cs="Arial"/>
          <w:sz w:val="24"/>
          <w:szCs w:val="24"/>
          <w:lang w:val="en-GB" w:eastAsia="en-GB"/>
        </w:rPr>
        <w:t xml:space="preserve">creased by </w:t>
      </w:r>
      <w:r>
        <w:rPr>
          <w:rFonts w:eastAsia="Times New Roman" w:cs="Arial"/>
          <w:sz w:val="24"/>
          <w:szCs w:val="24"/>
          <w:lang w:val="en-GB" w:eastAsia="en-GB"/>
        </w:rPr>
        <w:t>3</w:t>
      </w:r>
      <w:proofErr w:type="gramStart"/>
      <w:r w:rsidR="00AB17A2">
        <w:rPr>
          <w:rFonts w:eastAsia="Times New Roman" w:cs="Arial"/>
          <w:sz w:val="24"/>
          <w:szCs w:val="24"/>
          <w:lang w:val="en-GB" w:eastAsia="en-GB"/>
        </w:rPr>
        <w:t>,</w:t>
      </w:r>
      <w:r>
        <w:rPr>
          <w:rFonts w:eastAsia="Times New Roman" w:cs="Arial"/>
          <w:sz w:val="24"/>
          <w:szCs w:val="24"/>
          <w:lang w:val="en-GB" w:eastAsia="en-GB"/>
        </w:rPr>
        <w:t>8</w:t>
      </w:r>
      <w:proofErr w:type="gramEnd"/>
      <w:r>
        <w:rPr>
          <w:rFonts w:eastAsia="Times New Roman" w:cs="Arial"/>
          <w:sz w:val="24"/>
          <w:szCs w:val="24"/>
          <w:lang w:val="en-GB" w:eastAsia="en-GB"/>
        </w:rPr>
        <w:t>% compared to the previous quarter.</w:t>
      </w:r>
    </w:p>
    <w:p w:rsidR="00C939D5" w:rsidRPr="00EA37A6" w:rsidRDefault="00C939D5" w:rsidP="000A713E">
      <w:pPr>
        <w:spacing w:after="0" w:line="240" w:lineRule="auto"/>
        <w:jc w:val="both"/>
        <w:rPr>
          <w:rFonts w:ascii="Times New Roman" w:eastAsia="Times New Roman" w:hAnsi="Times New Roman" w:cs="Times New Roman"/>
          <w:szCs w:val="18"/>
          <w:lang w:val="en-GB"/>
        </w:rPr>
      </w:pPr>
      <w:r w:rsidRPr="00EA37A6">
        <w:rPr>
          <w:rFonts w:ascii="Times New Roman" w:eastAsia="Times New Roman" w:hAnsi="Times New Roman" w:cs="Times New Roman"/>
          <w:noProof/>
          <w:szCs w:val="18"/>
        </w:rPr>
        <mc:AlternateContent>
          <mc:Choice Requires="wpc">
            <w:drawing>
              <wp:inline distT="0" distB="0" distL="0" distR="0" wp14:anchorId="387FD525" wp14:editId="1B20BFFD">
                <wp:extent cx="5170805" cy="3245485"/>
                <wp:effectExtent l="9525" t="9525" r="1270" b="2540"/>
                <wp:docPr id="150" name="Canvas 1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Rectangle 5"/>
                        <wps:cNvSpPr>
                          <a:spLocks noChangeArrowheads="1"/>
                        </wps:cNvSpPr>
                        <wps:spPr bwMode="auto">
                          <a:xfrm>
                            <a:off x="10160" y="10160"/>
                            <a:ext cx="5149215" cy="3223895"/>
                          </a:xfrm>
                          <a:prstGeom prst="rect">
                            <a:avLst/>
                          </a:prstGeom>
                          <a:solidFill>
                            <a:srgbClr val="EBF1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6"/>
                        <wps:cNvSpPr>
                          <a:spLocks noChangeArrowheads="1"/>
                        </wps:cNvSpPr>
                        <wps:spPr bwMode="auto">
                          <a:xfrm>
                            <a:off x="1059815" y="337820"/>
                            <a:ext cx="3862070" cy="2094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Freeform 7"/>
                        <wps:cNvSpPr>
                          <a:spLocks noEditPoints="1"/>
                        </wps:cNvSpPr>
                        <wps:spPr bwMode="auto">
                          <a:xfrm>
                            <a:off x="1059815" y="333375"/>
                            <a:ext cx="3862070" cy="1754505"/>
                          </a:xfrm>
                          <a:custGeom>
                            <a:avLst/>
                            <a:gdLst>
                              <a:gd name="T0" fmla="*/ 0 w 6082"/>
                              <a:gd name="T1" fmla="*/ 2748 h 2763"/>
                              <a:gd name="T2" fmla="*/ 6082 w 6082"/>
                              <a:gd name="T3" fmla="*/ 2748 h 2763"/>
                              <a:gd name="T4" fmla="*/ 6082 w 6082"/>
                              <a:gd name="T5" fmla="*/ 2763 h 2763"/>
                              <a:gd name="T6" fmla="*/ 0 w 6082"/>
                              <a:gd name="T7" fmla="*/ 2763 h 2763"/>
                              <a:gd name="T8" fmla="*/ 0 w 6082"/>
                              <a:gd name="T9" fmla="*/ 2748 h 2763"/>
                              <a:gd name="T10" fmla="*/ 0 w 6082"/>
                              <a:gd name="T11" fmla="*/ 2199 h 2763"/>
                              <a:gd name="T12" fmla="*/ 6082 w 6082"/>
                              <a:gd name="T13" fmla="*/ 2199 h 2763"/>
                              <a:gd name="T14" fmla="*/ 6082 w 6082"/>
                              <a:gd name="T15" fmla="*/ 2213 h 2763"/>
                              <a:gd name="T16" fmla="*/ 0 w 6082"/>
                              <a:gd name="T17" fmla="*/ 2213 h 2763"/>
                              <a:gd name="T18" fmla="*/ 0 w 6082"/>
                              <a:gd name="T19" fmla="*/ 2199 h 2763"/>
                              <a:gd name="T20" fmla="*/ 0 w 6082"/>
                              <a:gd name="T21" fmla="*/ 1649 h 2763"/>
                              <a:gd name="T22" fmla="*/ 6082 w 6082"/>
                              <a:gd name="T23" fmla="*/ 1649 h 2763"/>
                              <a:gd name="T24" fmla="*/ 6082 w 6082"/>
                              <a:gd name="T25" fmla="*/ 1663 h 2763"/>
                              <a:gd name="T26" fmla="*/ 0 w 6082"/>
                              <a:gd name="T27" fmla="*/ 1663 h 2763"/>
                              <a:gd name="T28" fmla="*/ 0 w 6082"/>
                              <a:gd name="T29" fmla="*/ 1649 h 2763"/>
                              <a:gd name="T30" fmla="*/ 0 w 6082"/>
                              <a:gd name="T31" fmla="*/ 1099 h 2763"/>
                              <a:gd name="T32" fmla="*/ 6082 w 6082"/>
                              <a:gd name="T33" fmla="*/ 1099 h 2763"/>
                              <a:gd name="T34" fmla="*/ 6082 w 6082"/>
                              <a:gd name="T35" fmla="*/ 1113 h 2763"/>
                              <a:gd name="T36" fmla="*/ 0 w 6082"/>
                              <a:gd name="T37" fmla="*/ 1113 h 2763"/>
                              <a:gd name="T38" fmla="*/ 0 w 6082"/>
                              <a:gd name="T39" fmla="*/ 1099 h 2763"/>
                              <a:gd name="T40" fmla="*/ 0 w 6082"/>
                              <a:gd name="T41" fmla="*/ 549 h 2763"/>
                              <a:gd name="T42" fmla="*/ 6082 w 6082"/>
                              <a:gd name="T43" fmla="*/ 549 h 2763"/>
                              <a:gd name="T44" fmla="*/ 6082 w 6082"/>
                              <a:gd name="T45" fmla="*/ 564 h 2763"/>
                              <a:gd name="T46" fmla="*/ 0 w 6082"/>
                              <a:gd name="T47" fmla="*/ 564 h 2763"/>
                              <a:gd name="T48" fmla="*/ 0 w 6082"/>
                              <a:gd name="T49" fmla="*/ 549 h 2763"/>
                              <a:gd name="T50" fmla="*/ 0 w 6082"/>
                              <a:gd name="T51" fmla="*/ 0 h 2763"/>
                              <a:gd name="T52" fmla="*/ 6082 w 6082"/>
                              <a:gd name="T53" fmla="*/ 0 h 2763"/>
                              <a:gd name="T54" fmla="*/ 6082 w 6082"/>
                              <a:gd name="T55" fmla="*/ 14 h 2763"/>
                              <a:gd name="T56" fmla="*/ 0 w 6082"/>
                              <a:gd name="T57" fmla="*/ 14 h 2763"/>
                              <a:gd name="T58" fmla="*/ 0 w 6082"/>
                              <a:gd name="T59" fmla="*/ 0 h 2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082" h="2763">
                                <a:moveTo>
                                  <a:pt x="0" y="2748"/>
                                </a:moveTo>
                                <a:lnTo>
                                  <a:pt x="6082" y="2748"/>
                                </a:lnTo>
                                <a:lnTo>
                                  <a:pt x="6082" y="2763"/>
                                </a:lnTo>
                                <a:lnTo>
                                  <a:pt x="0" y="2763"/>
                                </a:lnTo>
                                <a:lnTo>
                                  <a:pt x="0" y="2748"/>
                                </a:lnTo>
                                <a:close/>
                                <a:moveTo>
                                  <a:pt x="0" y="2199"/>
                                </a:moveTo>
                                <a:lnTo>
                                  <a:pt x="6082" y="2199"/>
                                </a:lnTo>
                                <a:lnTo>
                                  <a:pt x="6082" y="2213"/>
                                </a:lnTo>
                                <a:lnTo>
                                  <a:pt x="0" y="2213"/>
                                </a:lnTo>
                                <a:lnTo>
                                  <a:pt x="0" y="2199"/>
                                </a:lnTo>
                                <a:close/>
                                <a:moveTo>
                                  <a:pt x="0" y="1649"/>
                                </a:moveTo>
                                <a:lnTo>
                                  <a:pt x="6082" y="1649"/>
                                </a:lnTo>
                                <a:lnTo>
                                  <a:pt x="6082" y="1663"/>
                                </a:lnTo>
                                <a:lnTo>
                                  <a:pt x="0" y="1663"/>
                                </a:lnTo>
                                <a:lnTo>
                                  <a:pt x="0" y="1649"/>
                                </a:lnTo>
                                <a:close/>
                                <a:moveTo>
                                  <a:pt x="0" y="1099"/>
                                </a:moveTo>
                                <a:lnTo>
                                  <a:pt x="6082" y="1099"/>
                                </a:lnTo>
                                <a:lnTo>
                                  <a:pt x="6082" y="1113"/>
                                </a:lnTo>
                                <a:lnTo>
                                  <a:pt x="0" y="1113"/>
                                </a:lnTo>
                                <a:lnTo>
                                  <a:pt x="0" y="1099"/>
                                </a:lnTo>
                                <a:close/>
                                <a:moveTo>
                                  <a:pt x="0" y="549"/>
                                </a:moveTo>
                                <a:lnTo>
                                  <a:pt x="6082" y="549"/>
                                </a:lnTo>
                                <a:lnTo>
                                  <a:pt x="6082" y="564"/>
                                </a:lnTo>
                                <a:lnTo>
                                  <a:pt x="0" y="564"/>
                                </a:lnTo>
                                <a:lnTo>
                                  <a:pt x="0" y="549"/>
                                </a:lnTo>
                                <a:close/>
                                <a:moveTo>
                                  <a:pt x="0" y="0"/>
                                </a:moveTo>
                                <a:lnTo>
                                  <a:pt x="6082" y="0"/>
                                </a:lnTo>
                                <a:lnTo>
                                  <a:pt x="6082" y="14"/>
                                </a:lnTo>
                                <a:lnTo>
                                  <a:pt x="0" y="14"/>
                                </a:lnTo>
                                <a:lnTo>
                                  <a:pt x="0" y="0"/>
                                </a:lnTo>
                                <a:close/>
                              </a:path>
                            </a:pathLst>
                          </a:custGeom>
                          <a:solidFill>
                            <a:srgbClr val="868686"/>
                          </a:solidFill>
                          <a:ln w="1270" cap="flat">
                            <a:solidFill>
                              <a:srgbClr val="868686"/>
                            </a:solidFill>
                            <a:prstDash val="solid"/>
                            <a:bevel/>
                            <a:headEnd/>
                            <a:tailEnd/>
                          </a:ln>
                        </wps:spPr>
                        <wps:bodyPr rot="0" vert="horz" wrap="square" lIns="91440" tIns="45720" rIns="91440" bIns="45720" anchor="t" anchorCtr="0" upright="1">
                          <a:noAutofit/>
                        </wps:bodyPr>
                      </wps:wsp>
                      <wps:wsp>
                        <wps:cNvPr id="11" name="Rectangle 8"/>
                        <wps:cNvSpPr>
                          <a:spLocks noChangeArrowheads="1"/>
                        </wps:cNvSpPr>
                        <wps:spPr bwMode="auto">
                          <a:xfrm>
                            <a:off x="1055370" y="337820"/>
                            <a:ext cx="8890" cy="2094230"/>
                          </a:xfrm>
                          <a:prstGeom prst="rect">
                            <a:avLst/>
                          </a:prstGeom>
                          <a:solidFill>
                            <a:srgbClr val="868686"/>
                          </a:solidFill>
                          <a:ln w="1270" cap="flat">
                            <a:solidFill>
                              <a:srgbClr val="868686"/>
                            </a:solidFill>
                            <a:prstDash val="solid"/>
                            <a:bevel/>
                            <a:headEnd/>
                            <a:tailEnd/>
                          </a:ln>
                        </wps:spPr>
                        <wps:bodyPr rot="0" vert="horz" wrap="square" lIns="91440" tIns="45720" rIns="91440" bIns="45720" anchor="t" anchorCtr="0" upright="1">
                          <a:noAutofit/>
                        </wps:bodyPr>
                      </wps:wsp>
                      <wps:wsp>
                        <wps:cNvPr id="12" name="Freeform 9"/>
                        <wps:cNvSpPr>
                          <a:spLocks noEditPoints="1"/>
                        </wps:cNvSpPr>
                        <wps:spPr bwMode="auto">
                          <a:xfrm>
                            <a:off x="1021715" y="333375"/>
                            <a:ext cx="38100" cy="2103120"/>
                          </a:xfrm>
                          <a:custGeom>
                            <a:avLst/>
                            <a:gdLst>
                              <a:gd name="T0" fmla="*/ 0 w 60"/>
                              <a:gd name="T1" fmla="*/ 3298 h 3312"/>
                              <a:gd name="T2" fmla="*/ 60 w 60"/>
                              <a:gd name="T3" fmla="*/ 3298 h 3312"/>
                              <a:gd name="T4" fmla="*/ 60 w 60"/>
                              <a:gd name="T5" fmla="*/ 3312 h 3312"/>
                              <a:gd name="T6" fmla="*/ 0 w 60"/>
                              <a:gd name="T7" fmla="*/ 3312 h 3312"/>
                              <a:gd name="T8" fmla="*/ 0 w 60"/>
                              <a:gd name="T9" fmla="*/ 3298 h 3312"/>
                              <a:gd name="T10" fmla="*/ 0 w 60"/>
                              <a:gd name="T11" fmla="*/ 2748 h 3312"/>
                              <a:gd name="T12" fmla="*/ 60 w 60"/>
                              <a:gd name="T13" fmla="*/ 2748 h 3312"/>
                              <a:gd name="T14" fmla="*/ 60 w 60"/>
                              <a:gd name="T15" fmla="*/ 2763 h 3312"/>
                              <a:gd name="T16" fmla="*/ 0 w 60"/>
                              <a:gd name="T17" fmla="*/ 2763 h 3312"/>
                              <a:gd name="T18" fmla="*/ 0 w 60"/>
                              <a:gd name="T19" fmla="*/ 2748 h 3312"/>
                              <a:gd name="T20" fmla="*/ 0 w 60"/>
                              <a:gd name="T21" fmla="*/ 2199 h 3312"/>
                              <a:gd name="T22" fmla="*/ 60 w 60"/>
                              <a:gd name="T23" fmla="*/ 2199 h 3312"/>
                              <a:gd name="T24" fmla="*/ 60 w 60"/>
                              <a:gd name="T25" fmla="*/ 2213 h 3312"/>
                              <a:gd name="T26" fmla="*/ 0 w 60"/>
                              <a:gd name="T27" fmla="*/ 2213 h 3312"/>
                              <a:gd name="T28" fmla="*/ 0 w 60"/>
                              <a:gd name="T29" fmla="*/ 2199 h 3312"/>
                              <a:gd name="T30" fmla="*/ 0 w 60"/>
                              <a:gd name="T31" fmla="*/ 1649 h 3312"/>
                              <a:gd name="T32" fmla="*/ 60 w 60"/>
                              <a:gd name="T33" fmla="*/ 1649 h 3312"/>
                              <a:gd name="T34" fmla="*/ 60 w 60"/>
                              <a:gd name="T35" fmla="*/ 1663 h 3312"/>
                              <a:gd name="T36" fmla="*/ 0 w 60"/>
                              <a:gd name="T37" fmla="*/ 1663 h 3312"/>
                              <a:gd name="T38" fmla="*/ 0 w 60"/>
                              <a:gd name="T39" fmla="*/ 1649 h 3312"/>
                              <a:gd name="T40" fmla="*/ 0 w 60"/>
                              <a:gd name="T41" fmla="*/ 1099 h 3312"/>
                              <a:gd name="T42" fmla="*/ 60 w 60"/>
                              <a:gd name="T43" fmla="*/ 1099 h 3312"/>
                              <a:gd name="T44" fmla="*/ 60 w 60"/>
                              <a:gd name="T45" fmla="*/ 1113 h 3312"/>
                              <a:gd name="T46" fmla="*/ 0 w 60"/>
                              <a:gd name="T47" fmla="*/ 1113 h 3312"/>
                              <a:gd name="T48" fmla="*/ 0 w 60"/>
                              <a:gd name="T49" fmla="*/ 1099 h 3312"/>
                              <a:gd name="T50" fmla="*/ 0 w 60"/>
                              <a:gd name="T51" fmla="*/ 549 h 3312"/>
                              <a:gd name="T52" fmla="*/ 60 w 60"/>
                              <a:gd name="T53" fmla="*/ 549 h 3312"/>
                              <a:gd name="T54" fmla="*/ 60 w 60"/>
                              <a:gd name="T55" fmla="*/ 564 h 3312"/>
                              <a:gd name="T56" fmla="*/ 0 w 60"/>
                              <a:gd name="T57" fmla="*/ 564 h 3312"/>
                              <a:gd name="T58" fmla="*/ 0 w 60"/>
                              <a:gd name="T59" fmla="*/ 549 h 3312"/>
                              <a:gd name="T60" fmla="*/ 0 w 60"/>
                              <a:gd name="T61" fmla="*/ 0 h 3312"/>
                              <a:gd name="T62" fmla="*/ 60 w 60"/>
                              <a:gd name="T63" fmla="*/ 0 h 3312"/>
                              <a:gd name="T64" fmla="*/ 60 w 60"/>
                              <a:gd name="T65" fmla="*/ 14 h 3312"/>
                              <a:gd name="T66" fmla="*/ 0 w 60"/>
                              <a:gd name="T67" fmla="*/ 14 h 3312"/>
                              <a:gd name="T68" fmla="*/ 0 w 60"/>
                              <a:gd name="T69" fmla="*/ 0 h 3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0" h="3312">
                                <a:moveTo>
                                  <a:pt x="0" y="3298"/>
                                </a:moveTo>
                                <a:lnTo>
                                  <a:pt x="60" y="3298"/>
                                </a:lnTo>
                                <a:lnTo>
                                  <a:pt x="60" y="3312"/>
                                </a:lnTo>
                                <a:lnTo>
                                  <a:pt x="0" y="3312"/>
                                </a:lnTo>
                                <a:lnTo>
                                  <a:pt x="0" y="3298"/>
                                </a:lnTo>
                                <a:close/>
                                <a:moveTo>
                                  <a:pt x="0" y="2748"/>
                                </a:moveTo>
                                <a:lnTo>
                                  <a:pt x="60" y="2748"/>
                                </a:lnTo>
                                <a:lnTo>
                                  <a:pt x="60" y="2763"/>
                                </a:lnTo>
                                <a:lnTo>
                                  <a:pt x="0" y="2763"/>
                                </a:lnTo>
                                <a:lnTo>
                                  <a:pt x="0" y="2748"/>
                                </a:lnTo>
                                <a:close/>
                                <a:moveTo>
                                  <a:pt x="0" y="2199"/>
                                </a:moveTo>
                                <a:lnTo>
                                  <a:pt x="60" y="2199"/>
                                </a:lnTo>
                                <a:lnTo>
                                  <a:pt x="60" y="2213"/>
                                </a:lnTo>
                                <a:lnTo>
                                  <a:pt x="0" y="2213"/>
                                </a:lnTo>
                                <a:lnTo>
                                  <a:pt x="0" y="2199"/>
                                </a:lnTo>
                                <a:close/>
                                <a:moveTo>
                                  <a:pt x="0" y="1649"/>
                                </a:moveTo>
                                <a:lnTo>
                                  <a:pt x="60" y="1649"/>
                                </a:lnTo>
                                <a:lnTo>
                                  <a:pt x="60" y="1663"/>
                                </a:lnTo>
                                <a:lnTo>
                                  <a:pt x="0" y="1663"/>
                                </a:lnTo>
                                <a:lnTo>
                                  <a:pt x="0" y="1649"/>
                                </a:lnTo>
                                <a:close/>
                                <a:moveTo>
                                  <a:pt x="0" y="1099"/>
                                </a:moveTo>
                                <a:lnTo>
                                  <a:pt x="60" y="1099"/>
                                </a:lnTo>
                                <a:lnTo>
                                  <a:pt x="60" y="1113"/>
                                </a:lnTo>
                                <a:lnTo>
                                  <a:pt x="0" y="1113"/>
                                </a:lnTo>
                                <a:lnTo>
                                  <a:pt x="0" y="1099"/>
                                </a:lnTo>
                                <a:close/>
                                <a:moveTo>
                                  <a:pt x="0" y="549"/>
                                </a:moveTo>
                                <a:lnTo>
                                  <a:pt x="60" y="549"/>
                                </a:lnTo>
                                <a:lnTo>
                                  <a:pt x="60" y="564"/>
                                </a:lnTo>
                                <a:lnTo>
                                  <a:pt x="0" y="564"/>
                                </a:lnTo>
                                <a:lnTo>
                                  <a:pt x="0" y="549"/>
                                </a:lnTo>
                                <a:close/>
                                <a:moveTo>
                                  <a:pt x="0" y="0"/>
                                </a:moveTo>
                                <a:lnTo>
                                  <a:pt x="60" y="0"/>
                                </a:lnTo>
                                <a:lnTo>
                                  <a:pt x="60" y="14"/>
                                </a:lnTo>
                                <a:lnTo>
                                  <a:pt x="0" y="14"/>
                                </a:lnTo>
                                <a:lnTo>
                                  <a:pt x="0" y="0"/>
                                </a:lnTo>
                                <a:close/>
                              </a:path>
                            </a:pathLst>
                          </a:custGeom>
                          <a:solidFill>
                            <a:srgbClr val="868686"/>
                          </a:solidFill>
                          <a:ln w="1270" cap="flat">
                            <a:solidFill>
                              <a:srgbClr val="868686"/>
                            </a:solidFill>
                            <a:prstDash val="solid"/>
                            <a:bevel/>
                            <a:headEnd/>
                            <a:tailEnd/>
                          </a:ln>
                        </wps:spPr>
                        <wps:bodyPr rot="0" vert="horz" wrap="square" lIns="91440" tIns="45720" rIns="91440" bIns="45720" anchor="t" anchorCtr="0" upright="1">
                          <a:noAutofit/>
                        </wps:bodyPr>
                      </wps:wsp>
                      <wps:wsp>
                        <wps:cNvPr id="14" name="Rectangle 10"/>
                        <wps:cNvSpPr>
                          <a:spLocks noChangeArrowheads="1"/>
                        </wps:cNvSpPr>
                        <wps:spPr bwMode="auto">
                          <a:xfrm>
                            <a:off x="1059815" y="2427605"/>
                            <a:ext cx="3862070" cy="8890"/>
                          </a:xfrm>
                          <a:prstGeom prst="rect">
                            <a:avLst/>
                          </a:prstGeom>
                          <a:solidFill>
                            <a:srgbClr val="868686"/>
                          </a:solidFill>
                          <a:ln w="1270" cap="flat">
                            <a:solidFill>
                              <a:srgbClr val="868686"/>
                            </a:solidFill>
                            <a:prstDash val="solid"/>
                            <a:bevel/>
                            <a:headEnd/>
                            <a:tailEnd/>
                          </a:ln>
                        </wps:spPr>
                        <wps:bodyPr rot="0" vert="horz" wrap="square" lIns="91440" tIns="45720" rIns="91440" bIns="45720" anchor="t" anchorCtr="0" upright="1">
                          <a:noAutofit/>
                        </wps:bodyPr>
                      </wps:wsp>
                      <wps:wsp>
                        <wps:cNvPr id="15" name="Freeform 11"/>
                        <wps:cNvSpPr>
                          <a:spLocks noEditPoints="1"/>
                        </wps:cNvSpPr>
                        <wps:spPr bwMode="auto">
                          <a:xfrm>
                            <a:off x="1055370" y="2432050"/>
                            <a:ext cx="3870960" cy="38100"/>
                          </a:xfrm>
                          <a:custGeom>
                            <a:avLst/>
                            <a:gdLst>
                              <a:gd name="T0" fmla="*/ 14 w 6096"/>
                              <a:gd name="T1" fmla="*/ 0 h 60"/>
                              <a:gd name="T2" fmla="*/ 14 w 6096"/>
                              <a:gd name="T3" fmla="*/ 60 h 60"/>
                              <a:gd name="T4" fmla="*/ 0 w 6096"/>
                              <a:gd name="T5" fmla="*/ 60 h 60"/>
                              <a:gd name="T6" fmla="*/ 0 w 6096"/>
                              <a:gd name="T7" fmla="*/ 0 h 60"/>
                              <a:gd name="T8" fmla="*/ 14 w 6096"/>
                              <a:gd name="T9" fmla="*/ 0 h 60"/>
                              <a:gd name="T10" fmla="*/ 691 w 6096"/>
                              <a:gd name="T11" fmla="*/ 0 h 60"/>
                              <a:gd name="T12" fmla="*/ 691 w 6096"/>
                              <a:gd name="T13" fmla="*/ 60 h 60"/>
                              <a:gd name="T14" fmla="*/ 677 w 6096"/>
                              <a:gd name="T15" fmla="*/ 60 h 60"/>
                              <a:gd name="T16" fmla="*/ 677 w 6096"/>
                              <a:gd name="T17" fmla="*/ 0 h 60"/>
                              <a:gd name="T18" fmla="*/ 691 w 6096"/>
                              <a:gd name="T19" fmla="*/ 0 h 60"/>
                              <a:gd name="T20" fmla="*/ 1366 w 6096"/>
                              <a:gd name="T21" fmla="*/ 0 h 60"/>
                              <a:gd name="T22" fmla="*/ 1366 w 6096"/>
                              <a:gd name="T23" fmla="*/ 60 h 60"/>
                              <a:gd name="T24" fmla="*/ 1351 w 6096"/>
                              <a:gd name="T25" fmla="*/ 60 h 60"/>
                              <a:gd name="T26" fmla="*/ 1351 w 6096"/>
                              <a:gd name="T27" fmla="*/ 0 h 60"/>
                              <a:gd name="T28" fmla="*/ 1366 w 6096"/>
                              <a:gd name="T29" fmla="*/ 0 h 60"/>
                              <a:gd name="T30" fmla="*/ 2042 w 6096"/>
                              <a:gd name="T31" fmla="*/ 0 h 60"/>
                              <a:gd name="T32" fmla="*/ 2042 w 6096"/>
                              <a:gd name="T33" fmla="*/ 60 h 60"/>
                              <a:gd name="T34" fmla="*/ 2028 w 6096"/>
                              <a:gd name="T35" fmla="*/ 60 h 60"/>
                              <a:gd name="T36" fmla="*/ 2028 w 6096"/>
                              <a:gd name="T37" fmla="*/ 0 h 60"/>
                              <a:gd name="T38" fmla="*/ 2042 w 6096"/>
                              <a:gd name="T39" fmla="*/ 0 h 60"/>
                              <a:gd name="T40" fmla="*/ 2717 w 6096"/>
                              <a:gd name="T41" fmla="*/ 0 h 60"/>
                              <a:gd name="T42" fmla="*/ 2717 w 6096"/>
                              <a:gd name="T43" fmla="*/ 60 h 60"/>
                              <a:gd name="T44" fmla="*/ 2702 w 6096"/>
                              <a:gd name="T45" fmla="*/ 60 h 60"/>
                              <a:gd name="T46" fmla="*/ 2702 w 6096"/>
                              <a:gd name="T47" fmla="*/ 0 h 60"/>
                              <a:gd name="T48" fmla="*/ 2717 w 6096"/>
                              <a:gd name="T49" fmla="*/ 0 h 60"/>
                              <a:gd name="T50" fmla="*/ 3394 w 6096"/>
                              <a:gd name="T51" fmla="*/ 0 h 60"/>
                              <a:gd name="T52" fmla="*/ 3394 w 6096"/>
                              <a:gd name="T53" fmla="*/ 60 h 60"/>
                              <a:gd name="T54" fmla="*/ 3379 w 6096"/>
                              <a:gd name="T55" fmla="*/ 60 h 60"/>
                              <a:gd name="T56" fmla="*/ 3379 w 6096"/>
                              <a:gd name="T57" fmla="*/ 0 h 60"/>
                              <a:gd name="T58" fmla="*/ 3394 w 6096"/>
                              <a:gd name="T59" fmla="*/ 0 h 60"/>
                              <a:gd name="T60" fmla="*/ 4068 w 6096"/>
                              <a:gd name="T61" fmla="*/ 0 h 60"/>
                              <a:gd name="T62" fmla="*/ 4068 w 6096"/>
                              <a:gd name="T63" fmla="*/ 60 h 60"/>
                              <a:gd name="T64" fmla="*/ 4054 w 6096"/>
                              <a:gd name="T65" fmla="*/ 60 h 60"/>
                              <a:gd name="T66" fmla="*/ 4054 w 6096"/>
                              <a:gd name="T67" fmla="*/ 0 h 60"/>
                              <a:gd name="T68" fmla="*/ 4068 w 6096"/>
                              <a:gd name="T69" fmla="*/ 0 h 60"/>
                              <a:gd name="T70" fmla="*/ 4745 w 6096"/>
                              <a:gd name="T71" fmla="*/ 0 h 60"/>
                              <a:gd name="T72" fmla="*/ 4745 w 6096"/>
                              <a:gd name="T73" fmla="*/ 60 h 60"/>
                              <a:gd name="T74" fmla="*/ 4730 w 6096"/>
                              <a:gd name="T75" fmla="*/ 60 h 60"/>
                              <a:gd name="T76" fmla="*/ 4730 w 6096"/>
                              <a:gd name="T77" fmla="*/ 0 h 60"/>
                              <a:gd name="T78" fmla="*/ 4745 w 6096"/>
                              <a:gd name="T79" fmla="*/ 0 h 60"/>
                              <a:gd name="T80" fmla="*/ 5419 w 6096"/>
                              <a:gd name="T81" fmla="*/ 0 h 60"/>
                              <a:gd name="T82" fmla="*/ 5419 w 6096"/>
                              <a:gd name="T83" fmla="*/ 60 h 60"/>
                              <a:gd name="T84" fmla="*/ 5405 w 6096"/>
                              <a:gd name="T85" fmla="*/ 60 h 60"/>
                              <a:gd name="T86" fmla="*/ 5405 w 6096"/>
                              <a:gd name="T87" fmla="*/ 0 h 60"/>
                              <a:gd name="T88" fmla="*/ 5419 w 6096"/>
                              <a:gd name="T89" fmla="*/ 0 h 60"/>
                              <a:gd name="T90" fmla="*/ 6096 w 6096"/>
                              <a:gd name="T91" fmla="*/ 0 h 60"/>
                              <a:gd name="T92" fmla="*/ 6096 w 6096"/>
                              <a:gd name="T93" fmla="*/ 60 h 60"/>
                              <a:gd name="T94" fmla="*/ 6082 w 6096"/>
                              <a:gd name="T95" fmla="*/ 60 h 60"/>
                              <a:gd name="T96" fmla="*/ 6082 w 6096"/>
                              <a:gd name="T97" fmla="*/ 0 h 60"/>
                              <a:gd name="T98" fmla="*/ 6096 w 6096"/>
                              <a:gd name="T99"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96" h="60">
                                <a:moveTo>
                                  <a:pt x="14" y="0"/>
                                </a:moveTo>
                                <a:lnTo>
                                  <a:pt x="14" y="60"/>
                                </a:lnTo>
                                <a:lnTo>
                                  <a:pt x="0" y="60"/>
                                </a:lnTo>
                                <a:lnTo>
                                  <a:pt x="0" y="0"/>
                                </a:lnTo>
                                <a:lnTo>
                                  <a:pt x="14" y="0"/>
                                </a:lnTo>
                                <a:close/>
                                <a:moveTo>
                                  <a:pt x="691" y="0"/>
                                </a:moveTo>
                                <a:lnTo>
                                  <a:pt x="691" y="60"/>
                                </a:lnTo>
                                <a:lnTo>
                                  <a:pt x="677" y="60"/>
                                </a:lnTo>
                                <a:lnTo>
                                  <a:pt x="677" y="0"/>
                                </a:lnTo>
                                <a:lnTo>
                                  <a:pt x="691" y="0"/>
                                </a:lnTo>
                                <a:close/>
                                <a:moveTo>
                                  <a:pt x="1366" y="0"/>
                                </a:moveTo>
                                <a:lnTo>
                                  <a:pt x="1366" y="60"/>
                                </a:lnTo>
                                <a:lnTo>
                                  <a:pt x="1351" y="60"/>
                                </a:lnTo>
                                <a:lnTo>
                                  <a:pt x="1351" y="0"/>
                                </a:lnTo>
                                <a:lnTo>
                                  <a:pt x="1366" y="0"/>
                                </a:lnTo>
                                <a:close/>
                                <a:moveTo>
                                  <a:pt x="2042" y="0"/>
                                </a:moveTo>
                                <a:lnTo>
                                  <a:pt x="2042" y="60"/>
                                </a:lnTo>
                                <a:lnTo>
                                  <a:pt x="2028" y="60"/>
                                </a:lnTo>
                                <a:lnTo>
                                  <a:pt x="2028" y="0"/>
                                </a:lnTo>
                                <a:lnTo>
                                  <a:pt x="2042" y="0"/>
                                </a:lnTo>
                                <a:close/>
                                <a:moveTo>
                                  <a:pt x="2717" y="0"/>
                                </a:moveTo>
                                <a:lnTo>
                                  <a:pt x="2717" y="60"/>
                                </a:lnTo>
                                <a:lnTo>
                                  <a:pt x="2702" y="60"/>
                                </a:lnTo>
                                <a:lnTo>
                                  <a:pt x="2702" y="0"/>
                                </a:lnTo>
                                <a:lnTo>
                                  <a:pt x="2717" y="0"/>
                                </a:lnTo>
                                <a:close/>
                                <a:moveTo>
                                  <a:pt x="3394" y="0"/>
                                </a:moveTo>
                                <a:lnTo>
                                  <a:pt x="3394" y="60"/>
                                </a:lnTo>
                                <a:lnTo>
                                  <a:pt x="3379" y="60"/>
                                </a:lnTo>
                                <a:lnTo>
                                  <a:pt x="3379" y="0"/>
                                </a:lnTo>
                                <a:lnTo>
                                  <a:pt x="3394" y="0"/>
                                </a:lnTo>
                                <a:close/>
                                <a:moveTo>
                                  <a:pt x="4068" y="0"/>
                                </a:moveTo>
                                <a:lnTo>
                                  <a:pt x="4068" y="60"/>
                                </a:lnTo>
                                <a:lnTo>
                                  <a:pt x="4054" y="60"/>
                                </a:lnTo>
                                <a:lnTo>
                                  <a:pt x="4054" y="0"/>
                                </a:lnTo>
                                <a:lnTo>
                                  <a:pt x="4068" y="0"/>
                                </a:lnTo>
                                <a:close/>
                                <a:moveTo>
                                  <a:pt x="4745" y="0"/>
                                </a:moveTo>
                                <a:lnTo>
                                  <a:pt x="4745" y="60"/>
                                </a:lnTo>
                                <a:lnTo>
                                  <a:pt x="4730" y="60"/>
                                </a:lnTo>
                                <a:lnTo>
                                  <a:pt x="4730" y="0"/>
                                </a:lnTo>
                                <a:lnTo>
                                  <a:pt x="4745" y="0"/>
                                </a:lnTo>
                                <a:close/>
                                <a:moveTo>
                                  <a:pt x="5419" y="0"/>
                                </a:moveTo>
                                <a:lnTo>
                                  <a:pt x="5419" y="60"/>
                                </a:lnTo>
                                <a:lnTo>
                                  <a:pt x="5405" y="60"/>
                                </a:lnTo>
                                <a:lnTo>
                                  <a:pt x="5405" y="0"/>
                                </a:lnTo>
                                <a:lnTo>
                                  <a:pt x="5419" y="0"/>
                                </a:lnTo>
                                <a:close/>
                                <a:moveTo>
                                  <a:pt x="6096" y="0"/>
                                </a:moveTo>
                                <a:lnTo>
                                  <a:pt x="6096" y="60"/>
                                </a:lnTo>
                                <a:lnTo>
                                  <a:pt x="6082" y="60"/>
                                </a:lnTo>
                                <a:lnTo>
                                  <a:pt x="6082" y="0"/>
                                </a:lnTo>
                                <a:lnTo>
                                  <a:pt x="6096" y="0"/>
                                </a:lnTo>
                                <a:close/>
                              </a:path>
                            </a:pathLst>
                          </a:custGeom>
                          <a:solidFill>
                            <a:srgbClr val="868686"/>
                          </a:solidFill>
                          <a:ln w="1270" cap="flat">
                            <a:solidFill>
                              <a:srgbClr val="868686"/>
                            </a:solidFill>
                            <a:prstDash val="solid"/>
                            <a:bevel/>
                            <a:headEnd/>
                            <a:tailEnd/>
                          </a:ln>
                        </wps:spPr>
                        <wps:bodyPr rot="0" vert="horz" wrap="square" lIns="91440" tIns="45720" rIns="91440" bIns="45720" anchor="t" anchorCtr="0" upright="1">
                          <a:noAutofit/>
                        </wps:bodyPr>
                      </wps:wsp>
                      <wps:wsp>
                        <wps:cNvPr id="16" name="Freeform 12"/>
                        <wps:cNvSpPr>
                          <a:spLocks/>
                        </wps:cNvSpPr>
                        <wps:spPr bwMode="auto">
                          <a:xfrm>
                            <a:off x="1260475" y="1837690"/>
                            <a:ext cx="3461385" cy="184150"/>
                          </a:xfrm>
                          <a:custGeom>
                            <a:avLst/>
                            <a:gdLst>
                              <a:gd name="T0" fmla="*/ 67 w 18173"/>
                              <a:gd name="T1" fmla="*/ 817 h 966"/>
                              <a:gd name="T2" fmla="*/ 2315 w 18173"/>
                              <a:gd name="T3" fmla="*/ 481 h 966"/>
                              <a:gd name="T4" fmla="*/ 2326 w 18173"/>
                              <a:gd name="T5" fmla="*/ 480 h 966"/>
                              <a:gd name="T6" fmla="*/ 4582 w 18173"/>
                              <a:gd name="T7" fmla="*/ 488 h 966"/>
                              <a:gd name="T8" fmla="*/ 6820 w 18173"/>
                              <a:gd name="T9" fmla="*/ 193 h 966"/>
                              <a:gd name="T10" fmla="*/ 6844 w 18173"/>
                              <a:gd name="T11" fmla="*/ 194 h 966"/>
                              <a:gd name="T12" fmla="*/ 9100 w 18173"/>
                              <a:gd name="T13" fmla="*/ 674 h 966"/>
                              <a:gd name="T14" fmla="*/ 9075 w 18173"/>
                              <a:gd name="T15" fmla="*/ 673 h 966"/>
                              <a:gd name="T16" fmla="*/ 11331 w 18173"/>
                              <a:gd name="T17" fmla="*/ 337 h 966"/>
                              <a:gd name="T18" fmla="*/ 11341 w 18173"/>
                              <a:gd name="T19" fmla="*/ 336 h 966"/>
                              <a:gd name="T20" fmla="*/ 13589 w 18173"/>
                              <a:gd name="T21" fmla="*/ 336 h 966"/>
                              <a:gd name="T22" fmla="*/ 13579 w 18173"/>
                              <a:gd name="T23" fmla="*/ 337 h 966"/>
                              <a:gd name="T24" fmla="*/ 15835 w 18173"/>
                              <a:gd name="T25" fmla="*/ 1 h 966"/>
                              <a:gd name="T26" fmla="*/ 15862 w 18173"/>
                              <a:gd name="T27" fmla="*/ 2 h 966"/>
                              <a:gd name="T28" fmla="*/ 18110 w 18173"/>
                              <a:gd name="T29" fmla="*/ 522 h 966"/>
                              <a:gd name="T30" fmla="*/ 18164 w 18173"/>
                              <a:gd name="T31" fmla="*/ 609 h 966"/>
                              <a:gd name="T32" fmla="*/ 18077 w 18173"/>
                              <a:gd name="T33" fmla="*/ 663 h 966"/>
                              <a:gd name="T34" fmla="*/ 15829 w 18173"/>
                              <a:gd name="T35" fmla="*/ 143 h 966"/>
                              <a:gd name="T36" fmla="*/ 15856 w 18173"/>
                              <a:gd name="T37" fmla="*/ 144 h 966"/>
                              <a:gd name="T38" fmla="*/ 13600 w 18173"/>
                              <a:gd name="T39" fmla="*/ 480 h 966"/>
                              <a:gd name="T40" fmla="*/ 13589 w 18173"/>
                              <a:gd name="T41" fmla="*/ 480 h 966"/>
                              <a:gd name="T42" fmla="*/ 11341 w 18173"/>
                              <a:gd name="T43" fmla="*/ 480 h 966"/>
                              <a:gd name="T44" fmla="*/ 11352 w 18173"/>
                              <a:gd name="T45" fmla="*/ 480 h 966"/>
                              <a:gd name="T46" fmla="*/ 9096 w 18173"/>
                              <a:gd name="T47" fmla="*/ 816 h 966"/>
                              <a:gd name="T48" fmla="*/ 9070 w 18173"/>
                              <a:gd name="T49" fmla="*/ 815 h 966"/>
                              <a:gd name="T50" fmla="*/ 6814 w 18173"/>
                              <a:gd name="T51" fmla="*/ 335 h 966"/>
                              <a:gd name="T52" fmla="*/ 6839 w 18173"/>
                              <a:gd name="T53" fmla="*/ 336 h 966"/>
                              <a:gd name="T54" fmla="*/ 4581 w 18173"/>
                              <a:gd name="T55" fmla="*/ 632 h 966"/>
                              <a:gd name="T56" fmla="*/ 2325 w 18173"/>
                              <a:gd name="T57" fmla="*/ 624 h 966"/>
                              <a:gd name="T58" fmla="*/ 2336 w 18173"/>
                              <a:gd name="T59" fmla="*/ 624 h 966"/>
                              <a:gd name="T60" fmla="*/ 88 w 18173"/>
                              <a:gd name="T61" fmla="*/ 960 h 966"/>
                              <a:gd name="T62" fmla="*/ 6 w 18173"/>
                              <a:gd name="T63" fmla="*/ 899 h 966"/>
                              <a:gd name="T64" fmla="*/ 67 w 18173"/>
                              <a:gd name="T65" fmla="*/ 817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173" h="966">
                                <a:moveTo>
                                  <a:pt x="67" y="817"/>
                                </a:moveTo>
                                <a:lnTo>
                                  <a:pt x="2315" y="481"/>
                                </a:lnTo>
                                <a:cubicBezTo>
                                  <a:pt x="2318" y="481"/>
                                  <a:pt x="2322" y="480"/>
                                  <a:pt x="2326" y="480"/>
                                </a:cubicBezTo>
                                <a:lnTo>
                                  <a:pt x="4582" y="488"/>
                                </a:lnTo>
                                <a:lnTo>
                                  <a:pt x="6820" y="193"/>
                                </a:lnTo>
                                <a:cubicBezTo>
                                  <a:pt x="6828" y="192"/>
                                  <a:pt x="6836" y="192"/>
                                  <a:pt x="6844" y="194"/>
                                </a:cubicBezTo>
                                <a:lnTo>
                                  <a:pt x="9100" y="674"/>
                                </a:lnTo>
                                <a:lnTo>
                                  <a:pt x="9075" y="673"/>
                                </a:lnTo>
                                <a:lnTo>
                                  <a:pt x="11331" y="337"/>
                                </a:lnTo>
                                <a:cubicBezTo>
                                  <a:pt x="11334" y="337"/>
                                  <a:pt x="11338" y="336"/>
                                  <a:pt x="11341" y="336"/>
                                </a:cubicBezTo>
                                <a:lnTo>
                                  <a:pt x="13589" y="336"/>
                                </a:lnTo>
                                <a:lnTo>
                                  <a:pt x="13579" y="337"/>
                                </a:lnTo>
                                <a:lnTo>
                                  <a:pt x="15835" y="1"/>
                                </a:lnTo>
                                <a:cubicBezTo>
                                  <a:pt x="15844" y="0"/>
                                  <a:pt x="15853" y="0"/>
                                  <a:pt x="15862" y="2"/>
                                </a:cubicBezTo>
                                <a:lnTo>
                                  <a:pt x="18110" y="522"/>
                                </a:lnTo>
                                <a:cubicBezTo>
                                  <a:pt x="18148" y="531"/>
                                  <a:pt x="18173" y="570"/>
                                  <a:pt x="18164" y="609"/>
                                </a:cubicBezTo>
                                <a:cubicBezTo>
                                  <a:pt x="18155" y="647"/>
                                  <a:pt x="18116" y="672"/>
                                  <a:pt x="18077" y="663"/>
                                </a:cubicBezTo>
                                <a:lnTo>
                                  <a:pt x="15829" y="143"/>
                                </a:lnTo>
                                <a:lnTo>
                                  <a:pt x="15856" y="144"/>
                                </a:lnTo>
                                <a:lnTo>
                                  <a:pt x="13600" y="480"/>
                                </a:lnTo>
                                <a:cubicBezTo>
                                  <a:pt x="13597" y="480"/>
                                  <a:pt x="13593" y="480"/>
                                  <a:pt x="13589" y="480"/>
                                </a:cubicBezTo>
                                <a:lnTo>
                                  <a:pt x="11341" y="480"/>
                                </a:lnTo>
                                <a:lnTo>
                                  <a:pt x="11352" y="480"/>
                                </a:lnTo>
                                <a:lnTo>
                                  <a:pt x="9096" y="816"/>
                                </a:lnTo>
                                <a:cubicBezTo>
                                  <a:pt x="9088" y="817"/>
                                  <a:pt x="9079" y="817"/>
                                  <a:pt x="9070" y="815"/>
                                </a:cubicBezTo>
                                <a:lnTo>
                                  <a:pt x="6814" y="335"/>
                                </a:lnTo>
                                <a:lnTo>
                                  <a:pt x="6839" y="336"/>
                                </a:lnTo>
                                <a:lnTo>
                                  <a:pt x="4581" y="632"/>
                                </a:lnTo>
                                <a:lnTo>
                                  <a:pt x="2325" y="624"/>
                                </a:lnTo>
                                <a:lnTo>
                                  <a:pt x="2336" y="624"/>
                                </a:lnTo>
                                <a:lnTo>
                                  <a:pt x="88" y="960"/>
                                </a:lnTo>
                                <a:cubicBezTo>
                                  <a:pt x="49" y="966"/>
                                  <a:pt x="12" y="938"/>
                                  <a:pt x="6" y="899"/>
                                </a:cubicBezTo>
                                <a:cubicBezTo>
                                  <a:pt x="0" y="860"/>
                                  <a:pt x="27" y="823"/>
                                  <a:pt x="67" y="817"/>
                                </a:cubicBezTo>
                                <a:close/>
                              </a:path>
                            </a:pathLst>
                          </a:custGeom>
                          <a:solidFill>
                            <a:srgbClr val="005D28"/>
                          </a:solidFill>
                          <a:ln w="1270" cap="flat">
                            <a:solidFill>
                              <a:srgbClr val="005D28"/>
                            </a:solidFill>
                            <a:prstDash val="solid"/>
                            <a:bevel/>
                            <a:headEnd/>
                            <a:tailEnd/>
                          </a:ln>
                        </wps:spPr>
                        <wps:bodyPr rot="0" vert="horz" wrap="square" lIns="91440" tIns="45720" rIns="91440" bIns="45720" anchor="t" anchorCtr="0" upright="1">
                          <a:noAutofit/>
                        </wps:bodyPr>
                      </wps:wsp>
                      <wps:wsp>
                        <wps:cNvPr id="17" name="Freeform 13"/>
                        <wps:cNvSpPr>
                          <a:spLocks/>
                        </wps:cNvSpPr>
                        <wps:spPr bwMode="auto">
                          <a:xfrm>
                            <a:off x="1229360" y="1960880"/>
                            <a:ext cx="88265" cy="88900"/>
                          </a:xfrm>
                          <a:custGeom>
                            <a:avLst/>
                            <a:gdLst>
                              <a:gd name="T0" fmla="*/ 70 w 139"/>
                              <a:gd name="T1" fmla="*/ 0 h 140"/>
                              <a:gd name="T2" fmla="*/ 139 w 139"/>
                              <a:gd name="T3" fmla="*/ 70 h 140"/>
                              <a:gd name="T4" fmla="*/ 70 w 139"/>
                              <a:gd name="T5" fmla="*/ 140 h 140"/>
                              <a:gd name="T6" fmla="*/ 0 w 139"/>
                              <a:gd name="T7" fmla="*/ 70 h 140"/>
                              <a:gd name="T8" fmla="*/ 70 w 139"/>
                              <a:gd name="T9" fmla="*/ 0 h 140"/>
                            </a:gdLst>
                            <a:ahLst/>
                            <a:cxnLst>
                              <a:cxn ang="0">
                                <a:pos x="T0" y="T1"/>
                              </a:cxn>
                              <a:cxn ang="0">
                                <a:pos x="T2" y="T3"/>
                              </a:cxn>
                              <a:cxn ang="0">
                                <a:pos x="T4" y="T5"/>
                              </a:cxn>
                              <a:cxn ang="0">
                                <a:pos x="T6" y="T7"/>
                              </a:cxn>
                              <a:cxn ang="0">
                                <a:pos x="T8" y="T9"/>
                              </a:cxn>
                            </a:cxnLst>
                            <a:rect l="0" t="0" r="r" b="b"/>
                            <a:pathLst>
                              <a:path w="139" h="140">
                                <a:moveTo>
                                  <a:pt x="70" y="0"/>
                                </a:moveTo>
                                <a:lnTo>
                                  <a:pt x="139" y="70"/>
                                </a:lnTo>
                                <a:lnTo>
                                  <a:pt x="70" y="140"/>
                                </a:lnTo>
                                <a:lnTo>
                                  <a:pt x="0" y="70"/>
                                </a:lnTo>
                                <a:lnTo>
                                  <a:pt x="70" y="0"/>
                                </a:lnTo>
                                <a:close/>
                              </a:path>
                            </a:pathLst>
                          </a:custGeom>
                          <a:solidFill>
                            <a:srgbClr val="3B4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4"/>
                        <wps:cNvSpPr>
                          <a:spLocks/>
                        </wps:cNvSpPr>
                        <wps:spPr bwMode="auto">
                          <a:xfrm>
                            <a:off x="1229360" y="1960880"/>
                            <a:ext cx="88265" cy="88900"/>
                          </a:xfrm>
                          <a:custGeom>
                            <a:avLst/>
                            <a:gdLst>
                              <a:gd name="T0" fmla="*/ 70 w 139"/>
                              <a:gd name="T1" fmla="*/ 0 h 140"/>
                              <a:gd name="T2" fmla="*/ 139 w 139"/>
                              <a:gd name="T3" fmla="*/ 70 h 140"/>
                              <a:gd name="T4" fmla="*/ 70 w 139"/>
                              <a:gd name="T5" fmla="*/ 140 h 140"/>
                              <a:gd name="T6" fmla="*/ 0 w 139"/>
                              <a:gd name="T7" fmla="*/ 70 h 140"/>
                              <a:gd name="T8" fmla="*/ 70 w 139"/>
                              <a:gd name="T9" fmla="*/ 0 h 140"/>
                            </a:gdLst>
                            <a:ahLst/>
                            <a:cxnLst>
                              <a:cxn ang="0">
                                <a:pos x="T0" y="T1"/>
                              </a:cxn>
                              <a:cxn ang="0">
                                <a:pos x="T2" y="T3"/>
                              </a:cxn>
                              <a:cxn ang="0">
                                <a:pos x="T4" y="T5"/>
                              </a:cxn>
                              <a:cxn ang="0">
                                <a:pos x="T6" y="T7"/>
                              </a:cxn>
                              <a:cxn ang="0">
                                <a:pos x="T8" y="T9"/>
                              </a:cxn>
                            </a:cxnLst>
                            <a:rect l="0" t="0" r="r" b="b"/>
                            <a:pathLst>
                              <a:path w="139" h="140">
                                <a:moveTo>
                                  <a:pt x="70" y="0"/>
                                </a:moveTo>
                                <a:lnTo>
                                  <a:pt x="139" y="70"/>
                                </a:lnTo>
                                <a:lnTo>
                                  <a:pt x="70" y="140"/>
                                </a:lnTo>
                                <a:lnTo>
                                  <a:pt x="0" y="70"/>
                                </a:lnTo>
                                <a:lnTo>
                                  <a:pt x="70" y="0"/>
                                </a:lnTo>
                                <a:close/>
                              </a:path>
                            </a:pathLst>
                          </a:custGeom>
                          <a:noFill/>
                          <a:ln w="8890" cap="flat">
                            <a:solidFill>
                              <a:srgbClr val="3B4A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5"/>
                        <wps:cNvSpPr>
                          <a:spLocks/>
                        </wps:cNvSpPr>
                        <wps:spPr bwMode="auto">
                          <a:xfrm>
                            <a:off x="1658620" y="1898650"/>
                            <a:ext cx="88900" cy="88265"/>
                          </a:xfrm>
                          <a:custGeom>
                            <a:avLst/>
                            <a:gdLst>
                              <a:gd name="T0" fmla="*/ 70 w 140"/>
                              <a:gd name="T1" fmla="*/ 0 h 139"/>
                              <a:gd name="T2" fmla="*/ 140 w 140"/>
                              <a:gd name="T3" fmla="*/ 70 h 139"/>
                              <a:gd name="T4" fmla="*/ 70 w 140"/>
                              <a:gd name="T5" fmla="*/ 139 h 139"/>
                              <a:gd name="T6" fmla="*/ 0 w 140"/>
                              <a:gd name="T7" fmla="*/ 70 h 139"/>
                              <a:gd name="T8" fmla="*/ 70 w 140"/>
                              <a:gd name="T9" fmla="*/ 0 h 139"/>
                            </a:gdLst>
                            <a:ahLst/>
                            <a:cxnLst>
                              <a:cxn ang="0">
                                <a:pos x="T0" y="T1"/>
                              </a:cxn>
                              <a:cxn ang="0">
                                <a:pos x="T2" y="T3"/>
                              </a:cxn>
                              <a:cxn ang="0">
                                <a:pos x="T4" y="T5"/>
                              </a:cxn>
                              <a:cxn ang="0">
                                <a:pos x="T6" y="T7"/>
                              </a:cxn>
                              <a:cxn ang="0">
                                <a:pos x="T8" y="T9"/>
                              </a:cxn>
                            </a:cxnLst>
                            <a:rect l="0" t="0" r="r" b="b"/>
                            <a:pathLst>
                              <a:path w="140" h="139">
                                <a:moveTo>
                                  <a:pt x="70" y="0"/>
                                </a:moveTo>
                                <a:lnTo>
                                  <a:pt x="140" y="70"/>
                                </a:lnTo>
                                <a:lnTo>
                                  <a:pt x="70" y="139"/>
                                </a:lnTo>
                                <a:lnTo>
                                  <a:pt x="0" y="70"/>
                                </a:lnTo>
                                <a:lnTo>
                                  <a:pt x="70" y="0"/>
                                </a:lnTo>
                                <a:close/>
                              </a:path>
                            </a:pathLst>
                          </a:custGeom>
                          <a:solidFill>
                            <a:srgbClr val="3B4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6"/>
                        <wps:cNvSpPr>
                          <a:spLocks/>
                        </wps:cNvSpPr>
                        <wps:spPr bwMode="auto">
                          <a:xfrm>
                            <a:off x="1658620" y="1898650"/>
                            <a:ext cx="88900" cy="88265"/>
                          </a:xfrm>
                          <a:custGeom>
                            <a:avLst/>
                            <a:gdLst>
                              <a:gd name="T0" fmla="*/ 70 w 140"/>
                              <a:gd name="T1" fmla="*/ 0 h 139"/>
                              <a:gd name="T2" fmla="*/ 140 w 140"/>
                              <a:gd name="T3" fmla="*/ 70 h 139"/>
                              <a:gd name="T4" fmla="*/ 70 w 140"/>
                              <a:gd name="T5" fmla="*/ 139 h 139"/>
                              <a:gd name="T6" fmla="*/ 0 w 140"/>
                              <a:gd name="T7" fmla="*/ 70 h 139"/>
                              <a:gd name="T8" fmla="*/ 70 w 140"/>
                              <a:gd name="T9" fmla="*/ 0 h 139"/>
                            </a:gdLst>
                            <a:ahLst/>
                            <a:cxnLst>
                              <a:cxn ang="0">
                                <a:pos x="T0" y="T1"/>
                              </a:cxn>
                              <a:cxn ang="0">
                                <a:pos x="T2" y="T3"/>
                              </a:cxn>
                              <a:cxn ang="0">
                                <a:pos x="T4" y="T5"/>
                              </a:cxn>
                              <a:cxn ang="0">
                                <a:pos x="T6" y="T7"/>
                              </a:cxn>
                              <a:cxn ang="0">
                                <a:pos x="T8" y="T9"/>
                              </a:cxn>
                            </a:cxnLst>
                            <a:rect l="0" t="0" r="r" b="b"/>
                            <a:pathLst>
                              <a:path w="140" h="139">
                                <a:moveTo>
                                  <a:pt x="70" y="0"/>
                                </a:moveTo>
                                <a:lnTo>
                                  <a:pt x="140" y="70"/>
                                </a:lnTo>
                                <a:lnTo>
                                  <a:pt x="70" y="139"/>
                                </a:lnTo>
                                <a:lnTo>
                                  <a:pt x="0" y="70"/>
                                </a:lnTo>
                                <a:lnTo>
                                  <a:pt x="70" y="0"/>
                                </a:lnTo>
                                <a:close/>
                              </a:path>
                            </a:pathLst>
                          </a:custGeom>
                          <a:noFill/>
                          <a:ln w="8890" cap="flat">
                            <a:solidFill>
                              <a:srgbClr val="3B4A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7"/>
                        <wps:cNvSpPr>
                          <a:spLocks/>
                        </wps:cNvSpPr>
                        <wps:spPr bwMode="auto">
                          <a:xfrm>
                            <a:off x="2087245" y="1898650"/>
                            <a:ext cx="88265" cy="88265"/>
                          </a:xfrm>
                          <a:custGeom>
                            <a:avLst/>
                            <a:gdLst>
                              <a:gd name="T0" fmla="*/ 70 w 139"/>
                              <a:gd name="T1" fmla="*/ 0 h 139"/>
                              <a:gd name="T2" fmla="*/ 139 w 139"/>
                              <a:gd name="T3" fmla="*/ 70 h 139"/>
                              <a:gd name="T4" fmla="*/ 70 w 139"/>
                              <a:gd name="T5" fmla="*/ 139 h 139"/>
                              <a:gd name="T6" fmla="*/ 0 w 139"/>
                              <a:gd name="T7" fmla="*/ 70 h 139"/>
                              <a:gd name="T8" fmla="*/ 70 w 139"/>
                              <a:gd name="T9" fmla="*/ 0 h 139"/>
                            </a:gdLst>
                            <a:ahLst/>
                            <a:cxnLst>
                              <a:cxn ang="0">
                                <a:pos x="T0" y="T1"/>
                              </a:cxn>
                              <a:cxn ang="0">
                                <a:pos x="T2" y="T3"/>
                              </a:cxn>
                              <a:cxn ang="0">
                                <a:pos x="T4" y="T5"/>
                              </a:cxn>
                              <a:cxn ang="0">
                                <a:pos x="T6" y="T7"/>
                              </a:cxn>
                              <a:cxn ang="0">
                                <a:pos x="T8" y="T9"/>
                              </a:cxn>
                            </a:cxnLst>
                            <a:rect l="0" t="0" r="r" b="b"/>
                            <a:pathLst>
                              <a:path w="139" h="139">
                                <a:moveTo>
                                  <a:pt x="70" y="0"/>
                                </a:moveTo>
                                <a:lnTo>
                                  <a:pt x="139" y="70"/>
                                </a:lnTo>
                                <a:lnTo>
                                  <a:pt x="70" y="139"/>
                                </a:lnTo>
                                <a:lnTo>
                                  <a:pt x="0" y="70"/>
                                </a:lnTo>
                                <a:lnTo>
                                  <a:pt x="70" y="0"/>
                                </a:lnTo>
                                <a:close/>
                              </a:path>
                            </a:pathLst>
                          </a:custGeom>
                          <a:solidFill>
                            <a:srgbClr val="3B4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8"/>
                        <wps:cNvSpPr>
                          <a:spLocks/>
                        </wps:cNvSpPr>
                        <wps:spPr bwMode="auto">
                          <a:xfrm>
                            <a:off x="2087245" y="1898650"/>
                            <a:ext cx="88265" cy="88265"/>
                          </a:xfrm>
                          <a:custGeom>
                            <a:avLst/>
                            <a:gdLst>
                              <a:gd name="T0" fmla="*/ 70 w 139"/>
                              <a:gd name="T1" fmla="*/ 0 h 139"/>
                              <a:gd name="T2" fmla="*/ 139 w 139"/>
                              <a:gd name="T3" fmla="*/ 70 h 139"/>
                              <a:gd name="T4" fmla="*/ 70 w 139"/>
                              <a:gd name="T5" fmla="*/ 139 h 139"/>
                              <a:gd name="T6" fmla="*/ 0 w 139"/>
                              <a:gd name="T7" fmla="*/ 70 h 139"/>
                              <a:gd name="T8" fmla="*/ 70 w 139"/>
                              <a:gd name="T9" fmla="*/ 0 h 139"/>
                            </a:gdLst>
                            <a:ahLst/>
                            <a:cxnLst>
                              <a:cxn ang="0">
                                <a:pos x="T0" y="T1"/>
                              </a:cxn>
                              <a:cxn ang="0">
                                <a:pos x="T2" y="T3"/>
                              </a:cxn>
                              <a:cxn ang="0">
                                <a:pos x="T4" y="T5"/>
                              </a:cxn>
                              <a:cxn ang="0">
                                <a:pos x="T6" y="T7"/>
                              </a:cxn>
                              <a:cxn ang="0">
                                <a:pos x="T8" y="T9"/>
                              </a:cxn>
                            </a:cxnLst>
                            <a:rect l="0" t="0" r="r" b="b"/>
                            <a:pathLst>
                              <a:path w="139" h="139">
                                <a:moveTo>
                                  <a:pt x="70" y="0"/>
                                </a:moveTo>
                                <a:lnTo>
                                  <a:pt x="139" y="70"/>
                                </a:lnTo>
                                <a:lnTo>
                                  <a:pt x="70" y="139"/>
                                </a:lnTo>
                                <a:lnTo>
                                  <a:pt x="0" y="70"/>
                                </a:lnTo>
                                <a:lnTo>
                                  <a:pt x="70" y="0"/>
                                </a:lnTo>
                                <a:close/>
                              </a:path>
                            </a:pathLst>
                          </a:custGeom>
                          <a:noFill/>
                          <a:ln w="8890" cap="flat">
                            <a:solidFill>
                              <a:srgbClr val="3B4A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9"/>
                        <wps:cNvSpPr>
                          <a:spLocks/>
                        </wps:cNvSpPr>
                        <wps:spPr bwMode="auto">
                          <a:xfrm>
                            <a:off x="2517140" y="1844040"/>
                            <a:ext cx="88265" cy="88265"/>
                          </a:xfrm>
                          <a:custGeom>
                            <a:avLst/>
                            <a:gdLst>
                              <a:gd name="T0" fmla="*/ 70 w 139"/>
                              <a:gd name="T1" fmla="*/ 0 h 139"/>
                              <a:gd name="T2" fmla="*/ 139 w 139"/>
                              <a:gd name="T3" fmla="*/ 70 h 139"/>
                              <a:gd name="T4" fmla="*/ 70 w 139"/>
                              <a:gd name="T5" fmla="*/ 139 h 139"/>
                              <a:gd name="T6" fmla="*/ 0 w 139"/>
                              <a:gd name="T7" fmla="*/ 70 h 139"/>
                              <a:gd name="T8" fmla="*/ 70 w 139"/>
                              <a:gd name="T9" fmla="*/ 0 h 139"/>
                            </a:gdLst>
                            <a:ahLst/>
                            <a:cxnLst>
                              <a:cxn ang="0">
                                <a:pos x="T0" y="T1"/>
                              </a:cxn>
                              <a:cxn ang="0">
                                <a:pos x="T2" y="T3"/>
                              </a:cxn>
                              <a:cxn ang="0">
                                <a:pos x="T4" y="T5"/>
                              </a:cxn>
                              <a:cxn ang="0">
                                <a:pos x="T6" y="T7"/>
                              </a:cxn>
                              <a:cxn ang="0">
                                <a:pos x="T8" y="T9"/>
                              </a:cxn>
                            </a:cxnLst>
                            <a:rect l="0" t="0" r="r" b="b"/>
                            <a:pathLst>
                              <a:path w="139" h="139">
                                <a:moveTo>
                                  <a:pt x="70" y="0"/>
                                </a:moveTo>
                                <a:lnTo>
                                  <a:pt x="139" y="70"/>
                                </a:lnTo>
                                <a:lnTo>
                                  <a:pt x="70" y="139"/>
                                </a:lnTo>
                                <a:lnTo>
                                  <a:pt x="0" y="70"/>
                                </a:lnTo>
                                <a:lnTo>
                                  <a:pt x="70" y="0"/>
                                </a:lnTo>
                                <a:close/>
                              </a:path>
                            </a:pathLst>
                          </a:custGeom>
                          <a:solidFill>
                            <a:srgbClr val="3B4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2517140" y="1844040"/>
                            <a:ext cx="88265" cy="88265"/>
                          </a:xfrm>
                          <a:custGeom>
                            <a:avLst/>
                            <a:gdLst>
                              <a:gd name="T0" fmla="*/ 70 w 139"/>
                              <a:gd name="T1" fmla="*/ 0 h 139"/>
                              <a:gd name="T2" fmla="*/ 139 w 139"/>
                              <a:gd name="T3" fmla="*/ 70 h 139"/>
                              <a:gd name="T4" fmla="*/ 70 w 139"/>
                              <a:gd name="T5" fmla="*/ 139 h 139"/>
                              <a:gd name="T6" fmla="*/ 0 w 139"/>
                              <a:gd name="T7" fmla="*/ 70 h 139"/>
                              <a:gd name="T8" fmla="*/ 70 w 139"/>
                              <a:gd name="T9" fmla="*/ 0 h 139"/>
                            </a:gdLst>
                            <a:ahLst/>
                            <a:cxnLst>
                              <a:cxn ang="0">
                                <a:pos x="T0" y="T1"/>
                              </a:cxn>
                              <a:cxn ang="0">
                                <a:pos x="T2" y="T3"/>
                              </a:cxn>
                              <a:cxn ang="0">
                                <a:pos x="T4" y="T5"/>
                              </a:cxn>
                              <a:cxn ang="0">
                                <a:pos x="T6" y="T7"/>
                              </a:cxn>
                              <a:cxn ang="0">
                                <a:pos x="T8" y="T9"/>
                              </a:cxn>
                            </a:cxnLst>
                            <a:rect l="0" t="0" r="r" b="b"/>
                            <a:pathLst>
                              <a:path w="139" h="139">
                                <a:moveTo>
                                  <a:pt x="70" y="0"/>
                                </a:moveTo>
                                <a:lnTo>
                                  <a:pt x="139" y="70"/>
                                </a:lnTo>
                                <a:lnTo>
                                  <a:pt x="70" y="139"/>
                                </a:lnTo>
                                <a:lnTo>
                                  <a:pt x="0" y="70"/>
                                </a:lnTo>
                                <a:lnTo>
                                  <a:pt x="70" y="0"/>
                                </a:lnTo>
                                <a:close/>
                              </a:path>
                            </a:pathLst>
                          </a:custGeom>
                          <a:noFill/>
                          <a:ln w="8890" cap="flat">
                            <a:solidFill>
                              <a:srgbClr val="3B4A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1"/>
                        <wps:cNvSpPr>
                          <a:spLocks/>
                        </wps:cNvSpPr>
                        <wps:spPr bwMode="auto">
                          <a:xfrm>
                            <a:off x="2945130" y="1933575"/>
                            <a:ext cx="88265" cy="88265"/>
                          </a:xfrm>
                          <a:custGeom>
                            <a:avLst/>
                            <a:gdLst>
                              <a:gd name="T0" fmla="*/ 70 w 139"/>
                              <a:gd name="T1" fmla="*/ 0 h 139"/>
                              <a:gd name="T2" fmla="*/ 139 w 139"/>
                              <a:gd name="T3" fmla="*/ 70 h 139"/>
                              <a:gd name="T4" fmla="*/ 70 w 139"/>
                              <a:gd name="T5" fmla="*/ 139 h 139"/>
                              <a:gd name="T6" fmla="*/ 0 w 139"/>
                              <a:gd name="T7" fmla="*/ 70 h 139"/>
                              <a:gd name="T8" fmla="*/ 70 w 139"/>
                              <a:gd name="T9" fmla="*/ 0 h 139"/>
                            </a:gdLst>
                            <a:ahLst/>
                            <a:cxnLst>
                              <a:cxn ang="0">
                                <a:pos x="T0" y="T1"/>
                              </a:cxn>
                              <a:cxn ang="0">
                                <a:pos x="T2" y="T3"/>
                              </a:cxn>
                              <a:cxn ang="0">
                                <a:pos x="T4" y="T5"/>
                              </a:cxn>
                              <a:cxn ang="0">
                                <a:pos x="T6" y="T7"/>
                              </a:cxn>
                              <a:cxn ang="0">
                                <a:pos x="T8" y="T9"/>
                              </a:cxn>
                            </a:cxnLst>
                            <a:rect l="0" t="0" r="r" b="b"/>
                            <a:pathLst>
                              <a:path w="139" h="139">
                                <a:moveTo>
                                  <a:pt x="70" y="0"/>
                                </a:moveTo>
                                <a:lnTo>
                                  <a:pt x="139" y="70"/>
                                </a:lnTo>
                                <a:lnTo>
                                  <a:pt x="70" y="139"/>
                                </a:lnTo>
                                <a:lnTo>
                                  <a:pt x="0" y="70"/>
                                </a:lnTo>
                                <a:lnTo>
                                  <a:pt x="70" y="0"/>
                                </a:lnTo>
                                <a:close/>
                              </a:path>
                            </a:pathLst>
                          </a:custGeom>
                          <a:solidFill>
                            <a:srgbClr val="3B4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2"/>
                        <wps:cNvSpPr>
                          <a:spLocks/>
                        </wps:cNvSpPr>
                        <wps:spPr bwMode="auto">
                          <a:xfrm>
                            <a:off x="2945130" y="1933575"/>
                            <a:ext cx="88265" cy="88265"/>
                          </a:xfrm>
                          <a:custGeom>
                            <a:avLst/>
                            <a:gdLst>
                              <a:gd name="T0" fmla="*/ 70 w 139"/>
                              <a:gd name="T1" fmla="*/ 0 h 139"/>
                              <a:gd name="T2" fmla="*/ 139 w 139"/>
                              <a:gd name="T3" fmla="*/ 70 h 139"/>
                              <a:gd name="T4" fmla="*/ 70 w 139"/>
                              <a:gd name="T5" fmla="*/ 139 h 139"/>
                              <a:gd name="T6" fmla="*/ 0 w 139"/>
                              <a:gd name="T7" fmla="*/ 70 h 139"/>
                              <a:gd name="T8" fmla="*/ 70 w 139"/>
                              <a:gd name="T9" fmla="*/ 0 h 139"/>
                            </a:gdLst>
                            <a:ahLst/>
                            <a:cxnLst>
                              <a:cxn ang="0">
                                <a:pos x="T0" y="T1"/>
                              </a:cxn>
                              <a:cxn ang="0">
                                <a:pos x="T2" y="T3"/>
                              </a:cxn>
                              <a:cxn ang="0">
                                <a:pos x="T4" y="T5"/>
                              </a:cxn>
                              <a:cxn ang="0">
                                <a:pos x="T6" y="T7"/>
                              </a:cxn>
                              <a:cxn ang="0">
                                <a:pos x="T8" y="T9"/>
                              </a:cxn>
                            </a:cxnLst>
                            <a:rect l="0" t="0" r="r" b="b"/>
                            <a:pathLst>
                              <a:path w="139" h="139">
                                <a:moveTo>
                                  <a:pt x="70" y="0"/>
                                </a:moveTo>
                                <a:lnTo>
                                  <a:pt x="139" y="70"/>
                                </a:lnTo>
                                <a:lnTo>
                                  <a:pt x="70" y="139"/>
                                </a:lnTo>
                                <a:lnTo>
                                  <a:pt x="0" y="70"/>
                                </a:lnTo>
                                <a:lnTo>
                                  <a:pt x="70" y="0"/>
                                </a:lnTo>
                                <a:close/>
                              </a:path>
                            </a:pathLst>
                          </a:custGeom>
                          <a:noFill/>
                          <a:ln w="8890" cap="flat">
                            <a:solidFill>
                              <a:srgbClr val="3B4A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3"/>
                        <wps:cNvSpPr>
                          <a:spLocks/>
                        </wps:cNvSpPr>
                        <wps:spPr bwMode="auto">
                          <a:xfrm>
                            <a:off x="3375025" y="1869440"/>
                            <a:ext cx="88265" cy="88900"/>
                          </a:xfrm>
                          <a:custGeom>
                            <a:avLst/>
                            <a:gdLst>
                              <a:gd name="T0" fmla="*/ 70 w 139"/>
                              <a:gd name="T1" fmla="*/ 0 h 140"/>
                              <a:gd name="T2" fmla="*/ 139 w 139"/>
                              <a:gd name="T3" fmla="*/ 71 h 140"/>
                              <a:gd name="T4" fmla="*/ 70 w 139"/>
                              <a:gd name="T5" fmla="*/ 140 h 140"/>
                              <a:gd name="T6" fmla="*/ 0 w 139"/>
                              <a:gd name="T7" fmla="*/ 71 h 140"/>
                              <a:gd name="T8" fmla="*/ 70 w 139"/>
                              <a:gd name="T9" fmla="*/ 0 h 140"/>
                            </a:gdLst>
                            <a:ahLst/>
                            <a:cxnLst>
                              <a:cxn ang="0">
                                <a:pos x="T0" y="T1"/>
                              </a:cxn>
                              <a:cxn ang="0">
                                <a:pos x="T2" y="T3"/>
                              </a:cxn>
                              <a:cxn ang="0">
                                <a:pos x="T4" y="T5"/>
                              </a:cxn>
                              <a:cxn ang="0">
                                <a:pos x="T6" y="T7"/>
                              </a:cxn>
                              <a:cxn ang="0">
                                <a:pos x="T8" y="T9"/>
                              </a:cxn>
                            </a:cxnLst>
                            <a:rect l="0" t="0" r="r" b="b"/>
                            <a:pathLst>
                              <a:path w="139" h="140">
                                <a:moveTo>
                                  <a:pt x="70" y="0"/>
                                </a:moveTo>
                                <a:lnTo>
                                  <a:pt x="139" y="71"/>
                                </a:lnTo>
                                <a:lnTo>
                                  <a:pt x="70" y="140"/>
                                </a:lnTo>
                                <a:lnTo>
                                  <a:pt x="0" y="71"/>
                                </a:lnTo>
                                <a:lnTo>
                                  <a:pt x="70" y="0"/>
                                </a:lnTo>
                                <a:close/>
                              </a:path>
                            </a:pathLst>
                          </a:custGeom>
                          <a:solidFill>
                            <a:srgbClr val="3B4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4"/>
                        <wps:cNvSpPr>
                          <a:spLocks/>
                        </wps:cNvSpPr>
                        <wps:spPr bwMode="auto">
                          <a:xfrm>
                            <a:off x="3375025" y="1869440"/>
                            <a:ext cx="88265" cy="88900"/>
                          </a:xfrm>
                          <a:custGeom>
                            <a:avLst/>
                            <a:gdLst>
                              <a:gd name="T0" fmla="*/ 70 w 139"/>
                              <a:gd name="T1" fmla="*/ 0 h 140"/>
                              <a:gd name="T2" fmla="*/ 139 w 139"/>
                              <a:gd name="T3" fmla="*/ 71 h 140"/>
                              <a:gd name="T4" fmla="*/ 70 w 139"/>
                              <a:gd name="T5" fmla="*/ 140 h 140"/>
                              <a:gd name="T6" fmla="*/ 0 w 139"/>
                              <a:gd name="T7" fmla="*/ 71 h 140"/>
                              <a:gd name="T8" fmla="*/ 70 w 139"/>
                              <a:gd name="T9" fmla="*/ 0 h 140"/>
                            </a:gdLst>
                            <a:ahLst/>
                            <a:cxnLst>
                              <a:cxn ang="0">
                                <a:pos x="T0" y="T1"/>
                              </a:cxn>
                              <a:cxn ang="0">
                                <a:pos x="T2" y="T3"/>
                              </a:cxn>
                              <a:cxn ang="0">
                                <a:pos x="T4" y="T5"/>
                              </a:cxn>
                              <a:cxn ang="0">
                                <a:pos x="T6" y="T7"/>
                              </a:cxn>
                              <a:cxn ang="0">
                                <a:pos x="T8" y="T9"/>
                              </a:cxn>
                            </a:cxnLst>
                            <a:rect l="0" t="0" r="r" b="b"/>
                            <a:pathLst>
                              <a:path w="139" h="140">
                                <a:moveTo>
                                  <a:pt x="70" y="0"/>
                                </a:moveTo>
                                <a:lnTo>
                                  <a:pt x="139" y="71"/>
                                </a:lnTo>
                                <a:lnTo>
                                  <a:pt x="70" y="140"/>
                                </a:lnTo>
                                <a:lnTo>
                                  <a:pt x="0" y="71"/>
                                </a:lnTo>
                                <a:lnTo>
                                  <a:pt x="70" y="0"/>
                                </a:lnTo>
                                <a:close/>
                              </a:path>
                            </a:pathLst>
                          </a:custGeom>
                          <a:noFill/>
                          <a:ln w="8890" cap="flat">
                            <a:solidFill>
                              <a:srgbClr val="3B4A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5"/>
                        <wps:cNvSpPr>
                          <a:spLocks/>
                        </wps:cNvSpPr>
                        <wps:spPr bwMode="auto">
                          <a:xfrm>
                            <a:off x="3804920" y="1869440"/>
                            <a:ext cx="88265" cy="88900"/>
                          </a:xfrm>
                          <a:custGeom>
                            <a:avLst/>
                            <a:gdLst>
                              <a:gd name="T0" fmla="*/ 70 w 139"/>
                              <a:gd name="T1" fmla="*/ 0 h 140"/>
                              <a:gd name="T2" fmla="*/ 139 w 139"/>
                              <a:gd name="T3" fmla="*/ 71 h 140"/>
                              <a:gd name="T4" fmla="*/ 70 w 139"/>
                              <a:gd name="T5" fmla="*/ 140 h 140"/>
                              <a:gd name="T6" fmla="*/ 0 w 139"/>
                              <a:gd name="T7" fmla="*/ 71 h 140"/>
                              <a:gd name="T8" fmla="*/ 70 w 139"/>
                              <a:gd name="T9" fmla="*/ 0 h 140"/>
                            </a:gdLst>
                            <a:ahLst/>
                            <a:cxnLst>
                              <a:cxn ang="0">
                                <a:pos x="T0" y="T1"/>
                              </a:cxn>
                              <a:cxn ang="0">
                                <a:pos x="T2" y="T3"/>
                              </a:cxn>
                              <a:cxn ang="0">
                                <a:pos x="T4" y="T5"/>
                              </a:cxn>
                              <a:cxn ang="0">
                                <a:pos x="T6" y="T7"/>
                              </a:cxn>
                              <a:cxn ang="0">
                                <a:pos x="T8" y="T9"/>
                              </a:cxn>
                            </a:cxnLst>
                            <a:rect l="0" t="0" r="r" b="b"/>
                            <a:pathLst>
                              <a:path w="139" h="140">
                                <a:moveTo>
                                  <a:pt x="70" y="0"/>
                                </a:moveTo>
                                <a:lnTo>
                                  <a:pt x="139" y="71"/>
                                </a:lnTo>
                                <a:lnTo>
                                  <a:pt x="70" y="140"/>
                                </a:lnTo>
                                <a:lnTo>
                                  <a:pt x="0" y="71"/>
                                </a:lnTo>
                                <a:lnTo>
                                  <a:pt x="70" y="0"/>
                                </a:lnTo>
                                <a:close/>
                              </a:path>
                            </a:pathLst>
                          </a:custGeom>
                          <a:solidFill>
                            <a:srgbClr val="3B4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6"/>
                        <wps:cNvSpPr>
                          <a:spLocks/>
                        </wps:cNvSpPr>
                        <wps:spPr bwMode="auto">
                          <a:xfrm>
                            <a:off x="3804920" y="1869440"/>
                            <a:ext cx="88265" cy="88900"/>
                          </a:xfrm>
                          <a:custGeom>
                            <a:avLst/>
                            <a:gdLst>
                              <a:gd name="T0" fmla="*/ 70 w 139"/>
                              <a:gd name="T1" fmla="*/ 0 h 140"/>
                              <a:gd name="T2" fmla="*/ 139 w 139"/>
                              <a:gd name="T3" fmla="*/ 71 h 140"/>
                              <a:gd name="T4" fmla="*/ 70 w 139"/>
                              <a:gd name="T5" fmla="*/ 140 h 140"/>
                              <a:gd name="T6" fmla="*/ 0 w 139"/>
                              <a:gd name="T7" fmla="*/ 71 h 140"/>
                              <a:gd name="T8" fmla="*/ 70 w 139"/>
                              <a:gd name="T9" fmla="*/ 0 h 140"/>
                            </a:gdLst>
                            <a:ahLst/>
                            <a:cxnLst>
                              <a:cxn ang="0">
                                <a:pos x="T0" y="T1"/>
                              </a:cxn>
                              <a:cxn ang="0">
                                <a:pos x="T2" y="T3"/>
                              </a:cxn>
                              <a:cxn ang="0">
                                <a:pos x="T4" y="T5"/>
                              </a:cxn>
                              <a:cxn ang="0">
                                <a:pos x="T6" y="T7"/>
                              </a:cxn>
                              <a:cxn ang="0">
                                <a:pos x="T8" y="T9"/>
                              </a:cxn>
                            </a:cxnLst>
                            <a:rect l="0" t="0" r="r" b="b"/>
                            <a:pathLst>
                              <a:path w="139" h="140">
                                <a:moveTo>
                                  <a:pt x="70" y="0"/>
                                </a:moveTo>
                                <a:lnTo>
                                  <a:pt x="139" y="71"/>
                                </a:lnTo>
                                <a:lnTo>
                                  <a:pt x="70" y="140"/>
                                </a:lnTo>
                                <a:lnTo>
                                  <a:pt x="0" y="71"/>
                                </a:lnTo>
                                <a:lnTo>
                                  <a:pt x="70" y="0"/>
                                </a:lnTo>
                                <a:close/>
                              </a:path>
                            </a:pathLst>
                          </a:custGeom>
                          <a:noFill/>
                          <a:ln w="8890" cap="flat">
                            <a:solidFill>
                              <a:srgbClr val="3B4A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7"/>
                        <wps:cNvSpPr>
                          <a:spLocks/>
                        </wps:cNvSpPr>
                        <wps:spPr bwMode="auto">
                          <a:xfrm>
                            <a:off x="4232910" y="1807210"/>
                            <a:ext cx="88265" cy="88265"/>
                          </a:xfrm>
                          <a:custGeom>
                            <a:avLst/>
                            <a:gdLst>
                              <a:gd name="T0" fmla="*/ 70 w 139"/>
                              <a:gd name="T1" fmla="*/ 0 h 139"/>
                              <a:gd name="T2" fmla="*/ 139 w 139"/>
                              <a:gd name="T3" fmla="*/ 70 h 139"/>
                              <a:gd name="T4" fmla="*/ 70 w 139"/>
                              <a:gd name="T5" fmla="*/ 139 h 139"/>
                              <a:gd name="T6" fmla="*/ 0 w 139"/>
                              <a:gd name="T7" fmla="*/ 70 h 139"/>
                              <a:gd name="T8" fmla="*/ 70 w 139"/>
                              <a:gd name="T9" fmla="*/ 0 h 139"/>
                            </a:gdLst>
                            <a:ahLst/>
                            <a:cxnLst>
                              <a:cxn ang="0">
                                <a:pos x="T0" y="T1"/>
                              </a:cxn>
                              <a:cxn ang="0">
                                <a:pos x="T2" y="T3"/>
                              </a:cxn>
                              <a:cxn ang="0">
                                <a:pos x="T4" y="T5"/>
                              </a:cxn>
                              <a:cxn ang="0">
                                <a:pos x="T6" y="T7"/>
                              </a:cxn>
                              <a:cxn ang="0">
                                <a:pos x="T8" y="T9"/>
                              </a:cxn>
                            </a:cxnLst>
                            <a:rect l="0" t="0" r="r" b="b"/>
                            <a:pathLst>
                              <a:path w="139" h="139">
                                <a:moveTo>
                                  <a:pt x="70" y="0"/>
                                </a:moveTo>
                                <a:lnTo>
                                  <a:pt x="139" y="70"/>
                                </a:lnTo>
                                <a:lnTo>
                                  <a:pt x="70" y="139"/>
                                </a:lnTo>
                                <a:lnTo>
                                  <a:pt x="0" y="70"/>
                                </a:lnTo>
                                <a:lnTo>
                                  <a:pt x="70" y="0"/>
                                </a:lnTo>
                                <a:close/>
                              </a:path>
                            </a:pathLst>
                          </a:custGeom>
                          <a:solidFill>
                            <a:srgbClr val="3B4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8"/>
                        <wps:cNvSpPr>
                          <a:spLocks/>
                        </wps:cNvSpPr>
                        <wps:spPr bwMode="auto">
                          <a:xfrm>
                            <a:off x="4232910" y="1807210"/>
                            <a:ext cx="88265" cy="88265"/>
                          </a:xfrm>
                          <a:custGeom>
                            <a:avLst/>
                            <a:gdLst>
                              <a:gd name="T0" fmla="*/ 70 w 139"/>
                              <a:gd name="T1" fmla="*/ 0 h 139"/>
                              <a:gd name="T2" fmla="*/ 139 w 139"/>
                              <a:gd name="T3" fmla="*/ 70 h 139"/>
                              <a:gd name="T4" fmla="*/ 70 w 139"/>
                              <a:gd name="T5" fmla="*/ 139 h 139"/>
                              <a:gd name="T6" fmla="*/ 0 w 139"/>
                              <a:gd name="T7" fmla="*/ 70 h 139"/>
                              <a:gd name="T8" fmla="*/ 70 w 139"/>
                              <a:gd name="T9" fmla="*/ 0 h 139"/>
                            </a:gdLst>
                            <a:ahLst/>
                            <a:cxnLst>
                              <a:cxn ang="0">
                                <a:pos x="T0" y="T1"/>
                              </a:cxn>
                              <a:cxn ang="0">
                                <a:pos x="T2" y="T3"/>
                              </a:cxn>
                              <a:cxn ang="0">
                                <a:pos x="T4" y="T5"/>
                              </a:cxn>
                              <a:cxn ang="0">
                                <a:pos x="T6" y="T7"/>
                              </a:cxn>
                              <a:cxn ang="0">
                                <a:pos x="T8" y="T9"/>
                              </a:cxn>
                            </a:cxnLst>
                            <a:rect l="0" t="0" r="r" b="b"/>
                            <a:pathLst>
                              <a:path w="139" h="139">
                                <a:moveTo>
                                  <a:pt x="70" y="0"/>
                                </a:moveTo>
                                <a:lnTo>
                                  <a:pt x="139" y="70"/>
                                </a:lnTo>
                                <a:lnTo>
                                  <a:pt x="70" y="139"/>
                                </a:lnTo>
                                <a:lnTo>
                                  <a:pt x="0" y="70"/>
                                </a:lnTo>
                                <a:lnTo>
                                  <a:pt x="70" y="0"/>
                                </a:lnTo>
                                <a:close/>
                              </a:path>
                            </a:pathLst>
                          </a:custGeom>
                          <a:noFill/>
                          <a:ln w="8890" cap="flat">
                            <a:solidFill>
                              <a:srgbClr val="3B4A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9"/>
                        <wps:cNvSpPr>
                          <a:spLocks/>
                        </wps:cNvSpPr>
                        <wps:spPr bwMode="auto">
                          <a:xfrm>
                            <a:off x="4662805" y="1905000"/>
                            <a:ext cx="88265" cy="88265"/>
                          </a:xfrm>
                          <a:custGeom>
                            <a:avLst/>
                            <a:gdLst>
                              <a:gd name="T0" fmla="*/ 70 w 139"/>
                              <a:gd name="T1" fmla="*/ 0 h 139"/>
                              <a:gd name="T2" fmla="*/ 139 w 139"/>
                              <a:gd name="T3" fmla="*/ 70 h 139"/>
                              <a:gd name="T4" fmla="*/ 70 w 139"/>
                              <a:gd name="T5" fmla="*/ 139 h 139"/>
                              <a:gd name="T6" fmla="*/ 0 w 139"/>
                              <a:gd name="T7" fmla="*/ 70 h 139"/>
                              <a:gd name="T8" fmla="*/ 70 w 139"/>
                              <a:gd name="T9" fmla="*/ 0 h 139"/>
                            </a:gdLst>
                            <a:ahLst/>
                            <a:cxnLst>
                              <a:cxn ang="0">
                                <a:pos x="T0" y="T1"/>
                              </a:cxn>
                              <a:cxn ang="0">
                                <a:pos x="T2" y="T3"/>
                              </a:cxn>
                              <a:cxn ang="0">
                                <a:pos x="T4" y="T5"/>
                              </a:cxn>
                              <a:cxn ang="0">
                                <a:pos x="T6" y="T7"/>
                              </a:cxn>
                              <a:cxn ang="0">
                                <a:pos x="T8" y="T9"/>
                              </a:cxn>
                            </a:cxnLst>
                            <a:rect l="0" t="0" r="r" b="b"/>
                            <a:pathLst>
                              <a:path w="139" h="139">
                                <a:moveTo>
                                  <a:pt x="70" y="0"/>
                                </a:moveTo>
                                <a:lnTo>
                                  <a:pt x="139" y="70"/>
                                </a:lnTo>
                                <a:lnTo>
                                  <a:pt x="70" y="139"/>
                                </a:lnTo>
                                <a:lnTo>
                                  <a:pt x="0" y="70"/>
                                </a:lnTo>
                                <a:lnTo>
                                  <a:pt x="70" y="0"/>
                                </a:lnTo>
                                <a:close/>
                              </a:path>
                            </a:pathLst>
                          </a:custGeom>
                          <a:solidFill>
                            <a:srgbClr val="3B4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0"/>
                        <wps:cNvSpPr>
                          <a:spLocks/>
                        </wps:cNvSpPr>
                        <wps:spPr bwMode="auto">
                          <a:xfrm>
                            <a:off x="4662805" y="1905000"/>
                            <a:ext cx="88265" cy="88265"/>
                          </a:xfrm>
                          <a:custGeom>
                            <a:avLst/>
                            <a:gdLst>
                              <a:gd name="T0" fmla="*/ 70 w 139"/>
                              <a:gd name="T1" fmla="*/ 0 h 139"/>
                              <a:gd name="T2" fmla="*/ 139 w 139"/>
                              <a:gd name="T3" fmla="*/ 70 h 139"/>
                              <a:gd name="T4" fmla="*/ 70 w 139"/>
                              <a:gd name="T5" fmla="*/ 139 h 139"/>
                              <a:gd name="T6" fmla="*/ 0 w 139"/>
                              <a:gd name="T7" fmla="*/ 70 h 139"/>
                              <a:gd name="T8" fmla="*/ 70 w 139"/>
                              <a:gd name="T9" fmla="*/ 0 h 139"/>
                            </a:gdLst>
                            <a:ahLst/>
                            <a:cxnLst>
                              <a:cxn ang="0">
                                <a:pos x="T0" y="T1"/>
                              </a:cxn>
                              <a:cxn ang="0">
                                <a:pos x="T2" y="T3"/>
                              </a:cxn>
                              <a:cxn ang="0">
                                <a:pos x="T4" y="T5"/>
                              </a:cxn>
                              <a:cxn ang="0">
                                <a:pos x="T6" y="T7"/>
                              </a:cxn>
                              <a:cxn ang="0">
                                <a:pos x="T8" y="T9"/>
                              </a:cxn>
                            </a:cxnLst>
                            <a:rect l="0" t="0" r="r" b="b"/>
                            <a:pathLst>
                              <a:path w="139" h="139">
                                <a:moveTo>
                                  <a:pt x="70" y="0"/>
                                </a:moveTo>
                                <a:lnTo>
                                  <a:pt x="139" y="70"/>
                                </a:lnTo>
                                <a:lnTo>
                                  <a:pt x="70" y="139"/>
                                </a:lnTo>
                                <a:lnTo>
                                  <a:pt x="0" y="70"/>
                                </a:lnTo>
                                <a:lnTo>
                                  <a:pt x="70" y="0"/>
                                </a:lnTo>
                                <a:close/>
                              </a:path>
                            </a:pathLst>
                          </a:custGeom>
                          <a:noFill/>
                          <a:ln w="8890" cap="flat">
                            <a:solidFill>
                              <a:srgbClr val="3B4A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1"/>
                        <wps:cNvSpPr>
                          <a:spLocks/>
                        </wps:cNvSpPr>
                        <wps:spPr bwMode="auto">
                          <a:xfrm>
                            <a:off x="1260475" y="595630"/>
                            <a:ext cx="3461385" cy="350520"/>
                          </a:xfrm>
                          <a:custGeom>
                            <a:avLst/>
                            <a:gdLst>
                              <a:gd name="T0" fmla="*/ 88 w 18171"/>
                              <a:gd name="T1" fmla="*/ 1366 h 1838"/>
                              <a:gd name="T2" fmla="*/ 2336 w 18171"/>
                              <a:gd name="T3" fmla="*/ 1694 h 1838"/>
                              <a:gd name="T4" fmla="*/ 2315 w 18171"/>
                              <a:gd name="T5" fmla="*/ 1694 h 1838"/>
                              <a:gd name="T6" fmla="*/ 4571 w 18171"/>
                              <a:gd name="T7" fmla="*/ 1366 h 1838"/>
                              <a:gd name="T8" fmla="*/ 6819 w 18171"/>
                              <a:gd name="T9" fmla="*/ 1038 h 1838"/>
                              <a:gd name="T10" fmla="*/ 9075 w 18171"/>
                              <a:gd name="T11" fmla="*/ 718 h 1838"/>
                              <a:gd name="T12" fmla="*/ 9097 w 18171"/>
                              <a:gd name="T13" fmla="*/ 718 h 1838"/>
                              <a:gd name="T14" fmla="*/ 11353 w 18171"/>
                              <a:gd name="T15" fmla="*/ 1070 h 1838"/>
                              <a:gd name="T16" fmla="*/ 11330 w 18171"/>
                              <a:gd name="T17" fmla="*/ 1070 h 1838"/>
                              <a:gd name="T18" fmla="*/ 13578 w 18171"/>
                              <a:gd name="T19" fmla="*/ 718 h 1838"/>
                              <a:gd name="T20" fmla="*/ 15834 w 18171"/>
                              <a:gd name="T21" fmla="*/ 358 h 1838"/>
                              <a:gd name="T22" fmla="*/ 18082 w 18171"/>
                              <a:gd name="T23" fmla="*/ 6 h 1838"/>
                              <a:gd name="T24" fmla="*/ 18165 w 18171"/>
                              <a:gd name="T25" fmla="*/ 66 h 1838"/>
                              <a:gd name="T26" fmla="*/ 18105 w 18171"/>
                              <a:gd name="T27" fmla="*/ 149 h 1838"/>
                              <a:gd name="T28" fmla="*/ 15857 w 18171"/>
                              <a:gd name="T29" fmla="*/ 501 h 1838"/>
                              <a:gd name="T30" fmla="*/ 13601 w 18171"/>
                              <a:gd name="T31" fmla="*/ 861 h 1838"/>
                              <a:gd name="T32" fmla="*/ 11353 w 18171"/>
                              <a:gd name="T33" fmla="*/ 1213 h 1838"/>
                              <a:gd name="T34" fmla="*/ 11330 w 18171"/>
                              <a:gd name="T35" fmla="*/ 1213 h 1838"/>
                              <a:gd name="T36" fmla="*/ 9074 w 18171"/>
                              <a:gd name="T37" fmla="*/ 861 h 1838"/>
                              <a:gd name="T38" fmla="*/ 9096 w 18171"/>
                              <a:gd name="T39" fmla="*/ 861 h 1838"/>
                              <a:gd name="T40" fmla="*/ 6840 w 18171"/>
                              <a:gd name="T41" fmla="*/ 1181 h 1838"/>
                              <a:gd name="T42" fmla="*/ 4592 w 18171"/>
                              <a:gd name="T43" fmla="*/ 1509 h 1838"/>
                              <a:gd name="T44" fmla="*/ 2336 w 18171"/>
                              <a:gd name="T45" fmla="*/ 1837 h 1838"/>
                              <a:gd name="T46" fmla="*/ 2315 w 18171"/>
                              <a:gd name="T47" fmla="*/ 1837 h 1838"/>
                              <a:gd name="T48" fmla="*/ 67 w 18171"/>
                              <a:gd name="T49" fmla="*/ 1509 h 1838"/>
                              <a:gd name="T50" fmla="*/ 6 w 18171"/>
                              <a:gd name="T51" fmla="*/ 1427 h 1838"/>
                              <a:gd name="T52" fmla="*/ 88 w 18171"/>
                              <a:gd name="T53" fmla="*/ 1366 h 1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8171" h="1838">
                                <a:moveTo>
                                  <a:pt x="88" y="1366"/>
                                </a:moveTo>
                                <a:lnTo>
                                  <a:pt x="2336" y="1694"/>
                                </a:lnTo>
                                <a:lnTo>
                                  <a:pt x="2315" y="1694"/>
                                </a:lnTo>
                                <a:lnTo>
                                  <a:pt x="4571" y="1366"/>
                                </a:lnTo>
                                <a:lnTo>
                                  <a:pt x="6819" y="1038"/>
                                </a:lnTo>
                                <a:lnTo>
                                  <a:pt x="9075" y="718"/>
                                </a:lnTo>
                                <a:cubicBezTo>
                                  <a:pt x="9082" y="717"/>
                                  <a:pt x="9090" y="717"/>
                                  <a:pt x="9097" y="718"/>
                                </a:cubicBezTo>
                                <a:lnTo>
                                  <a:pt x="11353" y="1070"/>
                                </a:lnTo>
                                <a:lnTo>
                                  <a:pt x="11330" y="1070"/>
                                </a:lnTo>
                                <a:lnTo>
                                  <a:pt x="13578" y="718"/>
                                </a:lnTo>
                                <a:lnTo>
                                  <a:pt x="15834" y="358"/>
                                </a:lnTo>
                                <a:lnTo>
                                  <a:pt x="18082" y="6"/>
                                </a:lnTo>
                                <a:cubicBezTo>
                                  <a:pt x="18122" y="0"/>
                                  <a:pt x="18158" y="27"/>
                                  <a:pt x="18165" y="66"/>
                                </a:cubicBezTo>
                                <a:cubicBezTo>
                                  <a:pt x="18171" y="106"/>
                                  <a:pt x="18144" y="142"/>
                                  <a:pt x="18105" y="149"/>
                                </a:cubicBezTo>
                                <a:lnTo>
                                  <a:pt x="15857" y="501"/>
                                </a:lnTo>
                                <a:lnTo>
                                  <a:pt x="13601" y="861"/>
                                </a:lnTo>
                                <a:lnTo>
                                  <a:pt x="11353" y="1213"/>
                                </a:lnTo>
                                <a:cubicBezTo>
                                  <a:pt x="11345" y="1214"/>
                                  <a:pt x="11338" y="1214"/>
                                  <a:pt x="11330" y="1213"/>
                                </a:cubicBezTo>
                                <a:lnTo>
                                  <a:pt x="9074" y="861"/>
                                </a:lnTo>
                                <a:lnTo>
                                  <a:pt x="9096" y="861"/>
                                </a:lnTo>
                                <a:lnTo>
                                  <a:pt x="6840" y="1181"/>
                                </a:lnTo>
                                <a:lnTo>
                                  <a:pt x="4592" y="1509"/>
                                </a:lnTo>
                                <a:lnTo>
                                  <a:pt x="2336" y="1837"/>
                                </a:lnTo>
                                <a:cubicBezTo>
                                  <a:pt x="2329" y="1838"/>
                                  <a:pt x="2322" y="1838"/>
                                  <a:pt x="2315" y="1837"/>
                                </a:cubicBezTo>
                                <a:lnTo>
                                  <a:pt x="67" y="1509"/>
                                </a:lnTo>
                                <a:cubicBezTo>
                                  <a:pt x="28" y="1503"/>
                                  <a:pt x="0" y="1466"/>
                                  <a:pt x="6" y="1427"/>
                                </a:cubicBezTo>
                                <a:cubicBezTo>
                                  <a:pt x="12" y="1388"/>
                                  <a:pt x="49" y="1360"/>
                                  <a:pt x="88" y="1366"/>
                                </a:cubicBezTo>
                                <a:close/>
                              </a:path>
                            </a:pathLst>
                          </a:custGeom>
                          <a:solidFill>
                            <a:srgbClr val="825B32"/>
                          </a:solidFill>
                          <a:ln w="1270" cap="flat">
                            <a:solidFill>
                              <a:srgbClr val="825B32"/>
                            </a:solidFill>
                            <a:prstDash val="solid"/>
                            <a:bevel/>
                            <a:headEnd/>
                            <a:tailEnd/>
                          </a:ln>
                        </wps:spPr>
                        <wps:bodyPr rot="0" vert="horz" wrap="square" lIns="91440" tIns="45720" rIns="91440" bIns="45720" anchor="t" anchorCtr="0" upright="1">
                          <a:noAutofit/>
                        </wps:bodyPr>
                      </wps:wsp>
                      <wps:wsp>
                        <wps:cNvPr id="36" name="Rectangle 32"/>
                        <wps:cNvSpPr>
                          <a:spLocks noChangeArrowheads="1"/>
                        </wps:cNvSpPr>
                        <wps:spPr bwMode="auto">
                          <a:xfrm>
                            <a:off x="1229360" y="825500"/>
                            <a:ext cx="88265" cy="88265"/>
                          </a:xfrm>
                          <a:prstGeom prst="rect">
                            <a:avLst/>
                          </a:prstGeom>
                          <a:solidFill>
                            <a:srgbClr val="FAB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3"/>
                        <wps:cNvSpPr>
                          <a:spLocks noChangeArrowheads="1"/>
                        </wps:cNvSpPr>
                        <wps:spPr bwMode="auto">
                          <a:xfrm>
                            <a:off x="1229360" y="825500"/>
                            <a:ext cx="88265" cy="88265"/>
                          </a:xfrm>
                          <a:prstGeom prst="rect">
                            <a:avLst/>
                          </a:prstGeom>
                          <a:noFill/>
                          <a:ln w="8890" cap="flat">
                            <a:solidFill>
                              <a:srgbClr val="FAB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34"/>
                        <wps:cNvSpPr>
                          <a:spLocks noChangeArrowheads="1"/>
                        </wps:cNvSpPr>
                        <wps:spPr bwMode="auto">
                          <a:xfrm>
                            <a:off x="1658620" y="887730"/>
                            <a:ext cx="88900" cy="88900"/>
                          </a:xfrm>
                          <a:prstGeom prst="rect">
                            <a:avLst/>
                          </a:prstGeom>
                          <a:solidFill>
                            <a:srgbClr val="FAB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5"/>
                        <wps:cNvSpPr>
                          <a:spLocks noChangeArrowheads="1"/>
                        </wps:cNvSpPr>
                        <wps:spPr bwMode="auto">
                          <a:xfrm>
                            <a:off x="1658620" y="887730"/>
                            <a:ext cx="88900" cy="88900"/>
                          </a:xfrm>
                          <a:prstGeom prst="rect">
                            <a:avLst/>
                          </a:prstGeom>
                          <a:noFill/>
                          <a:ln w="8890" cap="flat">
                            <a:solidFill>
                              <a:srgbClr val="FAB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36"/>
                        <wps:cNvSpPr>
                          <a:spLocks noChangeArrowheads="1"/>
                        </wps:cNvSpPr>
                        <wps:spPr bwMode="auto">
                          <a:xfrm>
                            <a:off x="2087245" y="825500"/>
                            <a:ext cx="88265" cy="88265"/>
                          </a:xfrm>
                          <a:prstGeom prst="rect">
                            <a:avLst/>
                          </a:prstGeom>
                          <a:solidFill>
                            <a:srgbClr val="FAB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37"/>
                        <wps:cNvSpPr>
                          <a:spLocks noChangeArrowheads="1"/>
                        </wps:cNvSpPr>
                        <wps:spPr bwMode="auto">
                          <a:xfrm>
                            <a:off x="2087245" y="825500"/>
                            <a:ext cx="88265" cy="88265"/>
                          </a:xfrm>
                          <a:prstGeom prst="rect">
                            <a:avLst/>
                          </a:prstGeom>
                          <a:noFill/>
                          <a:ln w="8890" cap="flat">
                            <a:solidFill>
                              <a:srgbClr val="FAB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38"/>
                        <wps:cNvSpPr>
                          <a:spLocks noChangeArrowheads="1"/>
                        </wps:cNvSpPr>
                        <wps:spPr bwMode="auto">
                          <a:xfrm>
                            <a:off x="2517140" y="763270"/>
                            <a:ext cx="88265" cy="88265"/>
                          </a:xfrm>
                          <a:prstGeom prst="rect">
                            <a:avLst/>
                          </a:prstGeom>
                          <a:solidFill>
                            <a:srgbClr val="FAB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9"/>
                        <wps:cNvSpPr>
                          <a:spLocks noChangeArrowheads="1"/>
                        </wps:cNvSpPr>
                        <wps:spPr bwMode="auto">
                          <a:xfrm>
                            <a:off x="2517140" y="763270"/>
                            <a:ext cx="88265" cy="88265"/>
                          </a:xfrm>
                          <a:prstGeom prst="rect">
                            <a:avLst/>
                          </a:prstGeom>
                          <a:noFill/>
                          <a:ln w="8890" cap="flat">
                            <a:solidFill>
                              <a:srgbClr val="FAB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40"/>
                        <wps:cNvSpPr>
                          <a:spLocks noChangeArrowheads="1"/>
                        </wps:cNvSpPr>
                        <wps:spPr bwMode="auto">
                          <a:xfrm>
                            <a:off x="2945130" y="700405"/>
                            <a:ext cx="88265" cy="88265"/>
                          </a:xfrm>
                          <a:prstGeom prst="rect">
                            <a:avLst/>
                          </a:prstGeom>
                          <a:solidFill>
                            <a:srgbClr val="FAB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41"/>
                        <wps:cNvSpPr>
                          <a:spLocks noChangeArrowheads="1"/>
                        </wps:cNvSpPr>
                        <wps:spPr bwMode="auto">
                          <a:xfrm>
                            <a:off x="2945130" y="700405"/>
                            <a:ext cx="88265" cy="88265"/>
                          </a:xfrm>
                          <a:prstGeom prst="rect">
                            <a:avLst/>
                          </a:prstGeom>
                          <a:noFill/>
                          <a:ln w="8890" cap="flat">
                            <a:solidFill>
                              <a:srgbClr val="FAB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42"/>
                        <wps:cNvSpPr>
                          <a:spLocks noChangeArrowheads="1"/>
                        </wps:cNvSpPr>
                        <wps:spPr bwMode="auto">
                          <a:xfrm>
                            <a:off x="3375025" y="767715"/>
                            <a:ext cx="88265" cy="88265"/>
                          </a:xfrm>
                          <a:prstGeom prst="rect">
                            <a:avLst/>
                          </a:prstGeom>
                          <a:solidFill>
                            <a:srgbClr val="FAB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43"/>
                        <wps:cNvSpPr>
                          <a:spLocks noChangeArrowheads="1"/>
                        </wps:cNvSpPr>
                        <wps:spPr bwMode="auto">
                          <a:xfrm>
                            <a:off x="3375025" y="767715"/>
                            <a:ext cx="88265" cy="88265"/>
                          </a:xfrm>
                          <a:prstGeom prst="rect">
                            <a:avLst/>
                          </a:prstGeom>
                          <a:noFill/>
                          <a:ln w="8890" cap="flat">
                            <a:solidFill>
                              <a:srgbClr val="FAB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44"/>
                        <wps:cNvSpPr>
                          <a:spLocks noChangeArrowheads="1"/>
                        </wps:cNvSpPr>
                        <wps:spPr bwMode="auto">
                          <a:xfrm>
                            <a:off x="3804920" y="700405"/>
                            <a:ext cx="88265" cy="88265"/>
                          </a:xfrm>
                          <a:prstGeom prst="rect">
                            <a:avLst/>
                          </a:prstGeom>
                          <a:solidFill>
                            <a:srgbClr val="FAB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5"/>
                        <wps:cNvSpPr>
                          <a:spLocks noChangeArrowheads="1"/>
                        </wps:cNvSpPr>
                        <wps:spPr bwMode="auto">
                          <a:xfrm>
                            <a:off x="3804920" y="700405"/>
                            <a:ext cx="88265" cy="88265"/>
                          </a:xfrm>
                          <a:prstGeom prst="rect">
                            <a:avLst/>
                          </a:prstGeom>
                          <a:noFill/>
                          <a:ln w="8890" cap="flat">
                            <a:solidFill>
                              <a:srgbClr val="FAB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46"/>
                        <wps:cNvSpPr>
                          <a:spLocks noChangeArrowheads="1"/>
                        </wps:cNvSpPr>
                        <wps:spPr bwMode="auto">
                          <a:xfrm>
                            <a:off x="4232910" y="633095"/>
                            <a:ext cx="88265" cy="88900"/>
                          </a:xfrm>
                          <a:prstGeom prst="rect">
                            <a:avLst/>
                          </a:prstGeom>
                          <a:solidFill>
                            <a:srgbClr val="FAB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7"/>
                        <wps:cNvSpPr>
                          <a:spLocks noChangeArrowheads="1"/>
                        </wps:cNvSpPr>
                        <wps:spPr bwMode="auto">
                          <a:xfrm>
                            <a:off x="4232910" y="633095"/>
                            <a:ext cx="88265" cy="88900"/>
                          </a:xfrm>
                          <a:prstGeom prst="rect">
                            <a:avLst/>
                          </a:prstGeom>
                          <a:noFill/>
                          <a:ln w="8890" cap="flat">
                            <a:solidFill>
                              <a:srgbClr val="FAB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48"/>
                        <wps:cNvSpPr>
                          <a:spLocks noChangeArrowheads="1"/>
                        </wps:cNvSpPr>
                        <wps:spPr bwMode="auto">
                          <a:xfrm>
                            <a:off x="4662805" y="566420"/>
                            <a:ext cx="88265" cy="88265"/>
                          </a:xfrm>
                          <a:prstGeom prst="rect">
                            <a:avLst/>
                          </a:prstGeom>
                          <a:solidFill>
                            <a:srgbClr val="FAB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9"/>
                        <wps:cNvSpPr>
                          <a:spLocks noChangeArrowheads="1"/>
                        </wps:cNvSpPr>
                        <wps:spPr bwMode="auto">
                          <a:xfrm>
                            <a:off x="4662805" y="566420"/>
                            <a:ext cx="88265" cy="88265"/>
                          </a:xfrm>
                          <a:prstGeom prst="rect">
                            <a:avLst/>
                          </a:prstGeom>
                          <a:noFill/>
                          <a:ln w="8890" cap="flat">
                            <a:solidFill>
                              <a:srgbClr val="FABE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1261110" y="2075180"/>
                            <a:ext cx="3460750" cy="117475"/>
                          </a:xfrm>
                          <a:custGeom>
                            <a:avLst/>
                            <a:gdLst>
                              <a:gd name="T0" fmla="*/ 74 w 18165"/>
                              <a:gd name="T1" fmla="*/ 416 h 616"/>
                              <a:gd name="T2" fmla="*/ 2322 w 18165"/>
                              <a:gd name="T3" fmla="*/ 472 h 616"/>
                              <a:gd name="T4" fmla="*/ 4569 w 18165"/>
                              <a:gd name="T5" fmla="*/ 233 h 616"/>
                              <a:gd name="T6" fmla="*/ 6819 w 18165"/>
                              <a:gd name="T7" fmla="*/ 57 h 616"/>
                              <a:gd name="T8" fmla="*/ 6835 w 18165"/>
                              <a:gd name="T9" fmla="*/ 57 h 616"/>
                              <a:gd name="T10" fmla="*/ 9091 w 18165"/>
                              <a:gd name="T11" fmla="*/ 377 h 616"/>
                              <a:gd name="T12" fmla="*/ 11338 w 18165"/>
                              <a:gd name="T13" fmla="*/ 432 h 616"/>
                              <a:gd name="T14" fmla="*/ 13577 w 18165"/>
                              <a:gd name="T15" fmla="*/ 193 h 616"/>
                              <a:gd name="T16" fmla="*/ 15834 w 18165"/>
                              <a:gd name="T17" fmla="*/ 1 h 616"/>
                              <a:gd name="T18" fmla="*/ 15851 w 18165"/>
                              <a:gd name="T19" fmla="*/ 1 h 616"/>
                              <a:gd name="T20" fmla="*/ 18099 w 18165"/>
                              <a:gd name="T21" fmla="*/ 329 h 616"/>
                              <a:gd name="T22" fmla="*/ 18160 w 18165"/>
                              <a:gd name="T23" fmla="*/ 411 h 616"/>
                              <a:gd name="T24" fmla="*/ 18078 w 18165"/>
                              <a:gd name="T25" fmla="*/ 472 h 616"/>
                              <a:gd name="T26" fmla="*/ 15830 w 18165"/>
                              <a:gd name="T27" fmla="*/ 144 h 616"/>
                              <a:gd name="T28" fmla="*/ 15847 w 18165"/>
                              <a:gd name="T29" fmla="*/ 144 h 616"/>
                              <a:gd name="T30" fmla="*/ 13592 w 18165"/>
                              <a:gd name="T31" fmla="*/ 336 h 616"/>
                              <a:gd name="T32" fmla="*/ 11335 w 18165"/>
                              <a:gd name="T33" fmla="*/ 576 h 616"/>
                              <a:gd name="T34" fmla="*/ 9070 w 18165"/>
                              <a:gd name="T35" fmla="*/ 520 h 616"/>
                              <a:gd name="T36" fmla="*/ 6814 w 18165"/>
                              <a:gd name="T37" fmla="*/ 200 h 616"/>
                              <a:gd name="T38" fmla="*/ 6830 w 18165"/>
                              <a:gd name="T39" fmla="*/ 200 h 616"/>
                              <a:gd name="T40" fmla="*/ 4584 w 18165"/>
                              <a:gd name="T41" fmla="*/ 376 h 616"/>
                              <a:gd name="T42" fmla="*/ 2319 w 18165"/>
                              <a:gd name="T43" fmla="*/ 616 h 616"/>
                              <a:gd name="T44" fmla="*/ 71 w 18165"/>
                              <a:gd name="T45" fmla="*/ 560 h 616"/>
                              <a:gd name="T46" fmla="*/ 0 w 18165"/>
                              <a:gd name="T47" fmla="*/ 487 h 616"/>
                              <a:gd name="T48" fmla="*/ 74 w 18165"/>
                              <a:gd name="T49" fmla="*/ 416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165" h="616">
                                <a:moveTo>
                                  <a:pt x="74" y="416"/>
                                </a:moveTo>
                                <a:lnTo>
                                  <a:pt x="2322" y="472"/>
                                </a:lnTo>
                                <a:lnTo>
                                  <a:pt x="4569" y="233"/>
                                </a:lnTo>
                                <a:lnTo>
                                  <a:pt x="6819" y="57"/>
                                </a:lnTo>
                                <a:cubicBezTo>
                                  <a:pt x="6824" y="56"/>
                                  <a:pt x="6829" y="56"/>
                                  <a:pt x="6835" y="57"/>
                                </a:cubicBezTo>
                                <a:lnTo>
                                  <a:pt x="9091" y="377"/>
                                </a:lnTo>
                                <a:lnTo>
                                  <a:pt x="11338" y="432"/>
                                </a:lnTo>
                                <a:lnTo>
                                  <a:pt x="13577" y="193"/>
                                </a:lnTo>
                                <a:lnTo>
                                  <a:pt x="15834" y="1"/>
                                </a:lnTo>
                                <a:cubicBezTo>
                                  <a:pt x="15840" y="0"/>
                                  <a:pt x="15845" y="0"/>
                                  <a:pt x="15851" y="1"/>
                                </a:cubicBezTo>
                                <a:lnTo>
                                  <a:pt x="18099" y="329"/>
                                </a:lnTo>
                                <a:cubicBezTo>
                                  <a:pt x="18138" y="335"/>
                                  <a:pt x="18165" y="372"/>
                                  <a:pt x="18160" y="411"/>
                                </a:cubicBezTo>
                                <a:cubicBezTo>
                                  <a:pt x="18154" y="450"/>
                                  <a:pt x="18117" y="477"/>
                                  <a:pt x="18078" y="472"/>
                                </a:cubicBezTo>
                                <a:lnTo>
                                  <a:pt x="15830" y="144"/>
                                </a:lnTo>
                                <a:lnTo>
                                  <a:pt x="15847" y="144"/>
                                </a:lnTo>
                                <a:lnTo>
                                  <a:pt x="13592" y="336"/>
                                </a:lnTo>
                                <a:lnTo>
                                  <a:pt x="11335" y="576"/>
                                </a:lnTo>
                                <a:lnTo>
                                  <a:pt x="9070" y="520"/>
                                </a:lnTo>
                                <a:lnTo>
                                  <a:pt x="6814" y="200"/>
                                </a:lnTo>
                                <a:lnTo>
                                  <a:pt x="6830" y="200"/>
                                </a:lnTo>
                                <a:lnTo>
                                  <a:pt x="4584" y="376"/>
                                </a:lnTo>
                                <a:lnTo>
                                  <a:pt x="2319" y="616"/>
                                </a:lnTo>
                                <a:lnTo>
                                  <a:pt x="71" y="560"/>
                                </a:lnTo>
                                <a:cubicBezTo>
                                  <a:pt x="31" y="559"/>
                                  <a:pt x="0" y="526"/>
                                  <a:pt x="0" y="487"/>
                                </a:cubicBezTo>
                                <a:cubicBezTo>
                                  <a:pt x="1" y="447"/>
                                  <a:pt x="35" y="416"/>
                                  <a:pt x="74" y="416"/>
                                </a:cubicBezTo>
                                <a:close/>
                              </a:path>
                            </a:pathLst>
                          </a:custGeom>
                          <a:solidFill>
                            <a:srgbClr val="C3D69B"/>
                          </a:solidFill>
                          <a:ln w="1270" cap="flat">
                            <a:solidFill>
                              <a:srgbClr val="C3D69B"/>
                            </a:solidFill>
                            <a:prstDash val="solid"/>
                            <a:bevel/>
                            <a:headEnd/>
                            <a:tailEnd/>
                          </a:ln>
                        </wps:spPr>
                        <wps:bodyPr rot="0" vert="horz" wrap="square" lIns="91440" tIns="45720" rIns="91440" bIns="45720" anchor="t" anchorCtr="0" upright="1">
                          <a:noAutofit/>
                        </wps:bodyPr>
                      </wps:wsp>
                      <wps:wsp>
                        <wps:cNvPr id="57" name="Freeform 51"/>
                        <wps:cNvSpPr>
                          <a:spLocks/>
                        </wps:cNvSpPr>
                        <wps:spPr bwMode="auto">
                          <a:xfrm>
                            <a:off x="1229360" y="2122805"/>
                            <a:ext cx="88265" cy="88265"/>
                          </a:xfrm>
                          <a:custGeom>
                            <a:avLst/>
                            <a:gdLst>
                              <a:gd name="T0" fmla="*/ 70 w 139"/>
                              <a:gd name="T1" fmla="*/ 0 h 139"/>
                              <a:gd name="T2" fmla="*/ 139 w 139"/>
                              <a:gd name="T3" fmla="*/ 139 h 139"/>
                              <a:gd name="T4" fmla="*/ 0 w 139"/>
                              <a:gd name="T5" fmla="*/ 139 h 139"/>
                              <a:gd name="T6" fmla="*/ 70 w 139"/>
                              <a:gd name="T7" fmla="*/ 0 h 139"/>
                            </a:gdLst>
                            <a:ahLst/>
                            <a:cxnLst>
                              <a:cxn ang="0">
                                <a:pos x="T0" y="T1"/>
                              </a:cxn>
                              <a:cxn ang="0">
                                <a:pos x="T2" y="T3"/>
                              </a:cxn>
                              <a:cxn ang="0">
                                <a:pos x="T4" y="T5"/>
                              </a:cxn>
                              <a:cxn ang="0">
                                <a:pos x="T6" y="T7"/>
                              </a:cxn>
                            </a:cxnLst>
                            <a:rect l="0" t="0" r="r" b="b"/>
                            <a:pathLst>
                              <a:path w="139" h="139">
                                <a:moveTo>
                                  <a:pt x="70" y="0"/>
                                </a:moveTo>
                                <a:lnTo>
                                  <a:pt x="139" y="139"/>
                                </a:lnTo>
                                <a:lnTo>
                                  <a:pt x="0" y="139"/>
                                </a:lnTo>
                                <a:lnTo>
                                  <a:pt x="70"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2"/>
                        <wps:cNvSpPr>
                          <a:spLocks/>
                        </wps:cNvSpPr>
                        <wps:spPr bwMode="auto">
                          <a:xfrm>
                            <a:off x="1229360" y="2122805"/>
                            <a:ext cx="88265" cy="88265"/>
                          </a:xfrm>
                          <a:custGeom>
                            <a:avLst/>
                            <a:gdLst>
                              <a:gd name="T0" fmla="*/ 70 w 139"/>
                              <a:gd name="T1" fmla="*/ 0 h 139"/>
                              <a:gd name="T2" fmla="*/ 139 w 139"/>
                              <a:gd name="T3" fmla="*/ 139 h 139"/>
                              <a:gd name="T4" fmla="*/ 0 w 139"/>
                              <a:gd name="T5" fmla="*/ 139 h 139"/>
                              <a:gd name="T6" fmla="*/ 70 w 139"/>
                              <a:gd name="T7" fmla="*/ 0 h 139"/>
                            </a:gdLst>
                            <a:ahLst/>
                            <a:cxnLst>
                              <a:cxn ang="0">
                                <a:pos x="T0" y="T1"/>
                              </a:cxn>
                              <a:cxn ang="0">
                                <a:pos x="T2" y="T3"/>
                              </a:cxn>
                              <a:cxn ang="0">
                                <a:pos x="T4" y="T5"/>
                              </a:cxn>
                              <a:cxn ang="0">
                                <a:pos x="T6" y="T7"/>
                              </a:cxn>
                            </a:cxnLst>
                            <a:rect l="0" t="0" r="r" b="b"/>
                            <a:pathLst>
                              <a:path w="139" h="139">
                                <a:moveTo>
                                  <a:pt x="70" y="0"/>
                                </a:moveTo>
                                <a:lnTo>
                                  <a:pt x="139" y="139"/>
                                </a:lnTo>
                                <a:lnTo>
                                  <a:pt x="0" y="139"/>
                                </a:lnTo>
                                <a:lnTo>
                                  <a:pt x="70" y="0"/>
                                </a:lnTo>
                                <a:close/>
                              </a:path>
                            </a:pathLst>
                          </a:custGeom>
                          <a:noFill/>
                          <a:ln w="8890" cap="flat">
                            <a:solidFill>
                              <a:srgbClr val="98B95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1658620" y="2134870"/>
                            <a:ext cx="88900" cy="88265"/>
                          </a:xfrm>
                          <a:custGeom>
                            <a:avLst/>
                            <a:gdLst>
                              <a:gd name="T0" fmla="*/ 70 w 140"/>
                              <a:gd name="T1" fmla="*/ 0 h 139"/>
                              <a:gd name="T2" fmla="*/ 140 w 140"/>
                              <a:gd name="T3" fmla="*/ 139 h 139"/>
                              <a:gd name="T4" fmla="*/ 0 w 140"/>
                              <a:gd name="T5" fmla="*/ 139 h 139"/>
                              <a:gd name="T6" fmla="*/ 70 w 140"/>
                              <a:gd name="T7" fmla="*/ 0 h 139"/>
                            </a:gdLst>
                            <a:ahLst/>
                            <a:cxnLst>
                              <a:cxn ang="0">
                                <a:pos x="T0" y="T1"/>
                              </a:cxn>
                              <a:cxn ang="0">
                                <a:pos x="T2" y="T3"/>
                              </a:cxn>
                              <a:cxn ang="0">
                                <a:pos x="T4" y="T5"/>
                              </a:cxn>
                              <a:cxn ang="0">
                                <a:pos x="T6" y="T7"/>
                              </a:cxn>
                            </a:cxnLst>
                            <a:rect l="0" t="0" r="r" b="b"/>
                            <a:pathLst>
                              <a:path w="140" h="139">
                                <a:moveTo>
                                  <a:pt x="70" y="0"/>
                                </a:moveTo>
                                <a:lnTo>
                                  <a:pt x="140" y="139"/>
                                </a:lnTo>
                                <a:lnTo>
                                  <a:pt x="0" y="139"/>
                                </a:lnTo>
                                <a:lnTo>
                                  <a:pt x="70"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4"/>
                        <wps:cNvSpPr>
                          <a:spLocks/>
                        </wps:cNvSpPr>
                        <wps:spPr bwMode="auto">
                          <a:xfrm>
                            <a:off x="1658620" y="2134870"/>
                            <a:ext cx="88900" cy="88265"/>
                          </a:xfrm>
                          <a:custGeom>
                            <a:avLst/>
                            <a:gdLst>
                              <a:gd name="T0" fmla="*/ 70 w 140"/>
                              <a:gd name="T1" fmla="*/ 0 h 139"/>
                              <a:gd name="T2" fmla="*/ 140 w 140"/>
                              <a:gd name="T3" fmla="*/ 139 h 139"/>
                              <a:gd name="T4" fmla="*/ 0 w 140"/>
                              <a:gd name="T5" fmla="*/ 139 h 139"/>
                              <a:gd name="T6" fmla="*/ 70 w 140"/>
                              <a:gd name="T7" fmla="*/ 0 h 139"/>
                            </a:gdLst>
                            <a:ahLst/>
                            <a:cxnLst>
                              <a:cxn ang="0">
                                <a:pos x="T0" y="T1"/>
                              </a:cxn>
                              <a:cxn ang="0">
                                <a:pos x="T2" y="T3"/>
                              </a:cxn>
                              <a:cxn ang="0">
                                <a:pos x="T4" y="T5"/>
                              </a:cxn>
                              <a:cxn ang="0">
                                <a:pos x="T6" y="T7"/>
                              </a:cxn>
                            </a:cxnLst>
                            <a:rect l="0" t="0" r="r" b="b"/>
                            <a:pathLst>
                              <a:path w="140" h="139">
                                <a:moveTo>
                                  <a:pt x="70" y="0"/>
                                </a:moveTo>
                                <a:lnTo>
                                  <a:pt x="140" y="139"/>
                                </a:lnTo>
                                <a:lnTo>
                                  <a:pt x="0" y="139"/>
                                </a:lnTo>
                                <a:lnTo>
                                  <a:pt x="70" y="0"/>
                                </a:lnTo>
                                <a:close/>
                              </a:path>
                            </a:pathLst>
                          </a:custGeom>
                          <a:noFill/>
                          <a:ln w="8890" cap="flat">
                            <a:solidFill>
                              <a:srgbClr val="98B95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55"/>
                        <wps:cNvSpPr>
                          <a:spLocks/>
                        </wps:cNvSpPr>
                        <wps:spPr bwMode="auto">
                          <a:xfrm>
                            <a:off x="2087245" y="2089150"/>
                            <a:ext cx="88265" cy="88265"/>
                          </a:xfrm>
                          <a:custGeom>
                            <a:avLst/>
                            <a:gdLst>
                              <a:gd name="T0" fmla="*/ 70 w 139"/>
                              <a:gd name="T1" fmla="*/ 0 h 139"/>
                              <a:gd name="T2" fmla="*/ 139 w 139"/>
                              <a:gd name="T3" fmla="*/ 139 h 139"/>
                              <a:gd name="T4" fmla="*/ 0 w 139"/>
                              <a:gd name="T5" fmla="*/ 139 h 139"/>
                              <a:gd name="T6" fmla="*/ 70 w 139"/>
                              <a:gd name="T7" fmla="*/ 0 h 139"/>
                            </a:gdLst>
                            <a:ahLst/>
                            <a:cxnLst>
                              <a:cxn ang="0">
                                <a:pos x="T0" y="T1"/>
                              </a:cxn>
                              <a:cxn ang="0">
                                <a:pos x="T2" y="T3"/>
                              </a:cxn>
                              <a:cxn ang="0">
                                <a:pos x="T4" y="T5"/>
                              </a:cxn>
                              <a:cxn ang="0">
                                <a:pos x="T6" y="T7"/>
                              </a:cxn>
                            </a:cxnLst>
                            <a:rect l="0" t="0" r="r" b="b"/>
                            <a:pathLst>
                              <a:path w="139" h="139">
                                <a:moveTo>
                                  <a:pt x="70" y="0"/>
                                </a:moveTo>
                                <a:lnTo>
                                  <a:pt x="139" y="139"/>
                                </a:lnTo>
                                <a:lnTo>
                                  <a:pt x="0" y="139"/>
                                </a:lnTo>
                                <a:lnTo>
                                  <a:pt x="70"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6"/>
                        <wps:cNvSpPr>
                          <a:spLocks/>
                        </wps:cNvSpPr>
                        <wps:spPr bwMode="auto">
                          <a:xfrm>
                            <a:off x="2087245" y="2089150"/>
                            <a:ext cx="88265" cy="88265"/>
                          </a:xfrm>
                          <a:custGeom>
                            <a:avLst/>
                            <a:gdLst>
                              <a:gd name="T0" fmla="*/ 70 w 139"/>
                              <a:gd name="T1" fmla="*/ 0 h 139"/>
                              <a:gd name="T2" fmla="*/ 139 w 139"/>
                              <a:gd name="T3" fmla="*/ 139 h 139"/>
                              <a:gd name="T4" fmla="*/ 0 w 139"/>
                              <a:gd name="T5" fmla="*/ 139 h 139"/>
                              <a:gd name="T6" fmla="*/ 70 w 139"/>
                              <a:gd name="T7" fmla="*/ 0 h 139"/>
                            </a:gdLst>
                            <a:ahLst/>
                            <a:cxnLst>
                              <a:cxn ang="0">
                                <a:pos x="T0" y="T1"/>
                              </a:cxn>
                              <a:cxn ang="0">
                                <a:pos x="T2" y="T3"/>
                              </a:cxn>
                              <a:cxn ang="0">
                                <a:pos x="T4" y="T5"/>
                              </a:cxn>
                              <a:cxn ang="0">
                                <a:pos x="T6" y="T7"/>
                              </a:cxn>
                            </a:cxnLst>
                            <a:rect l="0" t="0" r="r" b="b"/>
                            <a:pathLst>
                              <a:path w="139" h="139">
                                <a:moveTo>
                                  <a:pt x="70" y="0"/>
                                </a:moveTo>
                                <a:lnTo>
                                  <a:pt x="139" y="139"/>
                                </a:lnTo>
                                <a:lnTo>
                                  <a:pt x="0" y="139"/>
                                </a:lnTo>
                                <a:lnTo>
                                  <a:pt x="70" y="0"/>
                                </a:lnTo>
                                <a:close/>
                              </a:path>
                            </a:pathLst>
                          </a:custGeom>
                          <a:noFill/>
                          <a:ln w="8890" cap="flat">
                            <a:solidFill>
                              <a:srgbClr val="98B95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57"/>
                        <wps:cNvSpPr>
                          <a:spLocks/>
                        </wps:cNvSpPr>
                        <wps:spPr bwMode="auto">
                          <a:xfrm>
                            <a:off x="2517140" y="2054225"/>
                            <a:ext cx="88265" cy="88265"/>
                          </a:xfrm>
                          <a:custGeom>
                            <a:avLst/>
                            <a:gdLst>
                              <a:gd name="T0" fmla="*/ 70 w 139"/>
                              <a:gd name="T1" fmla="*/ 0 h 139"/>
                              <a:gd name="T2" fmla="*/ 139 w 139"/>
                              <a:gd name="T3" fmla="*/ 139 h 139"/>
                              <a:gd name="T4" fmla="*/ 0 w 139"/>
                              <a:gd name="T5" fmla="*/ 139 h 139"/>
                              <a:gd name="T6" fmla="*/ 70 w 139"/>
                              <a:gd name="T7" fmla="*/ 0 h 139"/>
                            </a:gdLst>
                            <a:ahLst/>
                            <a:cxnLst>
                              <a:cxn ang="0">
                                <a:pos x="T0" y="T1"/>
                              </a:cxn>
                              <a:cxn ang="0">
                                <a:pos x="T2" y="T3"/>
                              </a:cxn>
                              <a:cxn ang="0">
                                <a:pos x="T4" y="T5"/>
                              </a:cxn>
                              <a:cxn ang="0">
                                <a:pos x="T6" y="T7"/>
                              </a:cxn>
                            </a:cxnLst>
                            <a:rect l="0" t="0" r="r" b="b"/>
                            <a:pathLst>
                              <a:path w="139" h="139">
                                <a:moveTo>
                                  <a:pt x="70" y="0"/>
                                </a:moveTo>
                                <a:lnTo>
                                  <a:pt x="139" y="139"/>
                                </a:lnTo>
                                <a:lnTo>
                                  <a:pt x="0" y="139"/>
                                </a:lnTo>
                                <a:lnTo>
                                  <a:pt x="70"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8"/>
                        <wps:cNvSpPr>
                          <a:spLocks/>
                        </wps:cNvSpPr>
                        <wps:spPr bwMode="auto">
                          <a:xfrm>
                            <a:off x="2517140" y="2054225"/>
                            <a:ext cx="88265" cy="88265"/>
                          </a:xfrm>
                          <a:custGeom>
                            <a:avLst/>
                            <a:gdLst>
                              <a:gd name="T0" fmla="*/ 70 w 139"/>
                              <a:gd name="T1" fmla="*/ 0 h 139"/>
                              <a:gd name="T2" fmla="*/ 139 w 139"/>
                              <a:gd name="T3" fmla="*/ 139 h 139"/>
                              <a:gd name="T4" fmla="*/ 0 w 139"/>
                              <a:gd name="T5" fmla="*/ 139 h 139"/>
                              <a:gd name="T6" fmla="*/ 70 w 139"/>
                              <a:gd name="T7" fmla="*/ 0 h 139"/>
                            </a:gdLst>
                            <a:ahLst/>
                            <a:cxnLst>
                              <a:cxn ang="0">
                                <a:pos x="T0" y="T1"/>
                              </a:cxn>
                              <a:cxn ang="0">
                                <a:pos x="T2" y="T3"/>
                              </a:cxn>
                              <a:cxn ang="0">
                                <a:pos x="T4" y="T5"/>
                              </a:cxn>
                              <a:cxn ang="0">
                                <a:pos x="T6" y="T7"/>
                              </a:cxn>
                            </a:cxnLst>
                            <a:rect l="0" t="0" r="r" b="b"/>
                            <a:pathLst>
                              <a:path w="139" h="139">
                                <a:moveTo>
                                  <a:pt x="70" y="0"/>
                                </a:moveTo>
                                <a:lnTo>
                                  <a:pt x="139" y="139"/>
                                </a:lnTo>
                                <a:lnTo>
                                  <a:pt x="0" y="139"/>
                                </a:lnTo>
                                <a:lnTo>
                                  <a:pt x="70" y="0"/>
                                </a:lnTo>
                                <a:close/>
                              </a:path>
                            </a:pathLst>
                          </a:custGeom>
                          <a:noFill/>
                          <a:ln w="8890" cap="flat">
                            <a:solidFill>
                              <a:srgbClr val="98B95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59"/>
                        <wps:cNvSpPr>
                          <a:spLocks/>
                        </wps:cNvSpPr>
                        <wps:spPr bwMode="auto">
                          <a:xfrm>
                            <a:off x="2945130" y="2115185"/>
                            <a:ext cx="88265" cy="88265"/>
                          </a:xfrm>
                          <a:custGeom>
                            <a:avLst/>
                            <a:gdLst>
                              <a:gd name="T0" fmla="*/ 70 w 139"/>
                              <a:gd name="T1" fmla="*/ 0 h 139"/>
                              <a:gd name="T2" fmla="*/ 139 w 139"/>
                              <a:gd name="T3" fmla="*/ 139 h 139"/>
                              <a:gd name="T4" fmla="*/ 0 w 139"/>
                              <a:gd name="T5" fmla="*/ 139 h 139"/>
                              <a:gd name="T6" fmla="*/ 70 w 139"/>
                              <a:gd name="T7" fmla="*/ 0 h 139"/>
                            </a:gdLst>
                            <a:ahLst/>
                            <a:cxnLst>
                              <a:cxn ang="0">
                                <a:pos x="T0" y="T1"/>
                              </a:cxn>
                              <a:cxn ang="0">
                                <a:pos x="T2" y="T3"/>
                              </a:cxn>
                              <a:cxn ang="0">
                                <a:pos x="T4" y="T5"/>
                              </a:cxn>
                              <a:cxn ang="0">
                                <a:pos x="T6" y="T7"/>
                              </a:cxn>
                            </a:cxnLst>
                            <a:rect l="0" t="0" r="r" b="b"/>
                            <a:pathLst>
                              <a:path w="139" h="139">
                                <a:moveTo>
                                  <a:pt x="70" y="0"/>
                                </a:moveTo>
                                <a:lnTo>
                                  <a:pt x="139" y="139"/>
                                </a:lnTo>
                                <a:lnTo>
                                  <a:pt x="0" y="139"/>
                                </a:lnTo>
                                <a:lnTo>
                                  <a:pt x="70"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0"/>
                        <wps:cNvSpPr>
                          <a:spLocks/>
                        </wps:cNvSpPr>
                        <wps:spPr bwMode="auto">
                          <a:xfrm>
                            <a:off x="2945130" y="2115185"/>
                            <a:ext cx="88265" cy="88265"/>
                          </a:xfrm>
                          <a:custGeom>
                            <a:avLst/>
                            <a:gdLst>
                              <a:gd name="T0" fmla="*/ 70 w 139"/>
                              <a:gd name="T1" fmla="*/ 0 h 139"/>
                              <a:gd name="T2" fmla="*/ 139 w 139"/>
                              <a:gd name="T3" fmla="*/ 139 h 139"/>
                              <a:gd name="T4" fmla="*/ 0 w 139"/>
                              <a:gd name="T5" fmla="*/ 139 h 139"/>
                              <a:gd name="T6" fmla="*/ 70 w 139"/>
                              <a:gd name="T7" fmla="*/ 0 h 139"/>
                            </a:gdLst>
                            <a:ahLst/>
                            <a:cxnLst>
                              <a:cxn ang="0">
                                <a:pos x="T0" y="T1"/>
                              </a:cxn>
                              <a:cxn ang="0">
                                <a:pos x="T2" y="T3"/>
                              </a:cxn>
                              <a:cxn ang="0">
                                <a:pos x="T4" y="T5"/>
                              </a:cxn>
                              <a:cxn ang="0">
                                <a:pos x="T6" y="T7"/>
                              </a:cxn>
                            </a:cxnLst>
                            <a:rect l="0" t="0" r="r" b="b"/>
                            <a:pathLst>
                              <a:path w="139" h="139">
                                <a:moveTo>
                                  <a:pt x="70" y="0"/>
                                </a:moveTo>
                                <a:lnTo>
                                  <a:pt x="139" y="139"/>
                                </a:lnTo>
                                <a:lnTo>
                                  <a:pt x="0" y="139"/>
                                </a:lnTo>
                                <a:lnTo>
                                  <a:pt x="70" y="0"/>
                                </a:lnTo>
                                <a:close/>
                              </a:path>
                            </a:pathLst>
                          </a:custGeom>
                          <a:noFill/>
                          <a:ln w="8890" cap="flat">
                            <a:solidFill>
                              <a:srgbClr val="98B95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1"/>
                        <wps:cNvSpPr>
                          <a:spLocks/>
                        </wps:cNvSpPr>
                        <wps:spPr bwMode="auto">
                          <a:xfrm>
                            <a:off x="3375025" y="2127250"/>
                            <a:ext cx="88265" cy="88265"/>
                          </a:xfrm>
                          <a:custGeom>
                            <a:avLst/>
                            <a:gdLst>
                              <a:gd name="T0" fmla="*/ 70 w 139"/>
                              <a:gd name="T1" fmla="*/ 0 h 139"/>
                              <a:gd name="T2" fmla="*/ 139 w 139"/>
                              <a:gd name="T3" fmla="*/ 139 h 139"/>
                              <a:gd name="T4" fmla="*/ 0 w 139"/>
                              <a:gd name="T5" fmla="*/ 139 h 139"/>
                              <a:gd name="T6" fmla="*/ 70 w 139"/>
                              <a:gd name="T7" fmla="*/ 0 h 139"/>
                            </a:gdLst>
                            <a:ahLst/>
                            <a:cxnLst>
                              <a:cxn ang="0">
                                <a:pos x="T0" y="T1"/>
                              </a:cxn>
                              <a:cxn ang="0">
                                <a:pos x="T2" y="T3"/>
                              </a:cxn>
                              <a:cxn ang="0">
                                <a:pos x="T4" y="T5"/>
                              </a:cxn>
                              <a:cxn ang="0">
                                <a:pos x="T6" y="T7"/>
                              </a:cxn>
                            </a:cxnLst>
                            <a:rect l="0" t="0" r="r" b="b"/>
                            <a:pathLst>
                              <a:path w="139" h="139">
                                <a:moveTo>
                                  <a:pt x="70" y="0"/>
                                </a:moveTo>
                                <a:lnTo>
                                  <a:pt x="139" y="139"/>
                                </a:lnTo>
                                <a:lnTo>
                                  <a:pt x="0" y="139"/>
                                </a:lnTo>
                                <a:lnTo>
                                  <a:pt x="70"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2"/>
                        <wps:cNvSpPr>
                          <a:spLocks/>
                        </wps:cNvSpPr>
                        <wps:spPr bwMode="auto">
                          <a:xfrm>
                            <a:off x="3375025" y="2127250"/>
                            <a:ext cx="88265" cy="88265"/>
                          </a:xfrm>
                          <a:custGeom>
                            <a:avLst/>
                            <a:gdLst>
                              <a:gd name="T0" fmla="*/ 70 w 139"/>
                              <a:gd name="T1" fmla="*/ 0 h 139"/>
                              <a:gd name="T2" fmla="*/ 139 w 139"/>
                              <a:gd name="T3" fmla="*/ 139 h 139"/>
                              <a:gd name="T4" fmla="*/ 0 w 139"/>
                              <a:gd name="T5" fmla="*/ 139 h 139"/>
                              <a:gd name="T6" fmla="*/ 70 w 139"/>
                              <a:gd name="T7" fmla="*/ 0 h 139"/>
                            </a:gdLst>
                            <a:ahLst/>
                            <a:cxnLst>
                              <a:cxn ang="0">
                                <a:pos x="T0" y="T1"/>
                              </a:cxn>
                              <a:cxn ang="0">
                                <a:pos x="T2" y="T3"/>
                              </a:cxn>
                              <a:cxn ang="0">
                                <a:pos x="T4" y="T5"/>
                              </a:cxn>
                              <a:cxn ang="0">
                                <a:pos x="T6" y="T7"/>
                              </a:cxn>
                            </a:cxnLst>
                            <a:rect l="0" t="0" r="r" b="b"/>
                            <a:pathLst>
                              <a:path w="139" h="139">
                                <a:moveTo>
                                  <a:pt x="70" y="0"/>
                                </a:moveTo>
                                <a:lnTo>
                                  <a:pt x="139" y="139"/>
                                </a:lnTo>
                                <a:lnTo>
                                  <a:pt x="0" y="139"/>
                                </a:lnTo>
                                <a:lnTo>
                                  <a:pt x="70" y="0"/>
                                </a:lnTo>
                                <a:close/>
                              </a:path>
                            </a:pathLst>
                          </a:custGeom>
                          <a:noFill/>
                          <a:ln w="8890" cap="flat">
                            <a:solidFill>
                              <a:srgbClr val="98B95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63"/>
                        <wps:cNvSpPr>
                          <a:spLocks/>
                        </wps:cNvSpPr>
                        <wps:spPr bwMode="auto">
                          <a:xfrm>
                            <a:off x="3804920" y="2080260"/>
                            <a:ext cx="88265" cy="88265"/>
                          </a:xfrm>
                          <a:custGeom>
                            <a:avLst/>
                            <a:gdLst>
                              <a:gd name="T0" fmla="*/ 70 w 139"/>
                              <a:gd name="T1" fmla="*/ 0 h 139"/>
                              <a:gd name="T2" fmla="*/ 139 w 139"/>
                              <a:gd name="T3" fmla="*/ 139 h 139"/>
                              <a:gd name="T4" fmla="*/ 0 w 139"/>
                              <a:gd name="T5" fmla="*/ 139 h 139"/>
                              <a:gd name="T6" fmla="*/ 70 w 139"/>
                              <a:gd name="T7" fmla="*/ 0 h 139"/>
                            </a:gdLst>
                            <a:ahLst/>
                            <a:cxnLst>
                              <a:cxn ang="0">
                                <a:pos x="T0" y="T1"/>
                              </a:cxn>
                              <a:cxn ang="0">
                                <a:pos x="T2" y="T3"/>
                              </a:cxn>
                              <a:cxn ang="0">
                                <a:pos x="T4" y="T5"/>
                              </a:cxn>
                              <a:cxn ang="0">
                                <a:pos x="T6" y="T7"/>
                              </a:cxn>
                            </a:cxnLst>
                            <a:rect l="0" t="0" r="r" b="b"/>
                            <a:pathLst>
                              <a:path w="139" h="139">
                                <a:moveTo>
                                  <a:pt x="70" y="0"/>
                                </a:moveTo>
                                <a:lnTo>
                                  <a:pt x="139" y="139"/>
                                </a:lnTo>
                                <a:lnTo>
                                  <a:pt x="0" y="139"/>
                                </a:lnTo>
                                <a:lnTo>
                                  <a:pt x="70"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4"/>
                        <wps:cNvSpPr>
                          <a:spLocks/>
                        </wps:cNvSpPr>
                        <wps:spPr bwMode="auto">
                          <a:xfrm>
                            <a:off x="3804920" y="2080260"/>
                            <a:ext cx="88265" cy="88265"/>
                          </a:xfrm>
                          <a:custGeom>
                            <a:avLst/>
                            <a:gdLst>
                              <a:gd name="T0" fmla="*/ 70 w 139"/>
                              <a:gd name="T1" fmla="*/ 0 h 139"/>
                              <a:gd name="T2" fmla="*/ 139 w 139"/>
                              <a:gd name="T3" fmla="*/ 139 h 139"/>
                              <a:gd name="T4" fmla="*/ 0 w 139"/>
                              <a:gd name="T5" fmla="*/ 139 h 139"/>
                              <a:gd name="T6" fmla="*/ 70 w 139"/>
                              <a:gd name="T7" fmla="*/ 0 h 139"/>
                            </a:gdLst>
                            <a:ahLst/>
                            <a:cxnLst>
                              <a:cxn ang="0">
                                <a:pos x="T0" y="T1"/>
                              </a:cxn>
                              <a:cxn ang="0">
                                <a:pos x="T2" y="T3"/>
                              </a:cxn>
                              <a:cxn ang="0">
                                <a:pos x="T4" y="T5"/>
                              </a:cxn>
                              <a:cxn ang="0">
                                <a:pos x="T6" y="T7"/>
                              </a:cxn>
                            </a:cxnLst>
                            <a:rect l="0" t="0" r="r" b="b"/>
                            <a:pathLst>
                              <a:path w="139" h="139">
                                <a:moveTo>
                                  <a:pt x="70" y="0"/>
                                </a:moveTo>
                                <a:lnTo>
                                  <a:pt x="139" y="139"/>
                                </a:lnTo>
                                <a:lnTo>
                                  <a:pt x="0" y="139"/>
                                </a:lnTo>
                                <a:lnTo>
                                  <a:pt x="70" y="0"/>
                                </a:lnTo>
                                <a:close/>
                              </a:path>
                            </a:pathLst>
                          </a:custGeom>
                          <a:noFill/>
                          <a:ln w="8890" cap="flat">
                            <a:solidFill>
                              <a:srgbClr val="98B95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65"/>
                        <wps:cNvSpPr>
                          <a:spLocks/>
                        </wps:cNvSpPr>
                        <wps:spPr bwMode="auto">
                          <a:xfrm>
                            <a:off x="4232910" y="2044700"/>
                            <a:ext cx="88265" cy="88900"/>
                          </a:xfrm>
                          <a:custGeom>
                            <a:avLst/>
                            <a:gdLst>
                              <a:gd name="T0" fmla="*/ 70 w 139"/>
                              <a:gd name="T1" fmla="*/ 0 h 140"/>
                              <a:gd name="T2" fmla="*/ 139 w 139"/>
                              <a:gd name="T3" fmla="*/ 140 h 140"/>
                              <a:gd name="T4" fmla="*/ 0 w 139"/>
                              <a:gd name="T5" fmla="*/ 140 h 140"/>
                              <a:gd name="T6" fmla="*/ 70 w 139"/>
                              <a:gd name="T7" fmla="*/ 0 h 140"/>
                            </a:gdLst>
                            <a:ahLst/>
                            <a:cxnLst>
                              <a:cxn ang="0">
                                <a:pos x="T0" y="T1"/>
                              </a:cxn>
                              <a:cxn ang="0">
                                <a:pos x="T2" y="T3"/>
                              </a:cxn>
                              <a:cxn ang="0">
                                <a:pos x="T4" y="T5"/>
                              </a:cxn>
                              <a:cxn ang="0">
                                <a:pos x="T6" y="T7"/>
                              </a:cxn>
                            </a:cxnLst>
                            <a:rect l="0" t="0" r="r" b="b"/>
                            <a:pathLst>
                              <a:path w="139" h="140">
                                <a:moveTo>
                                  <a:pt x="70" y="0"/>
                                </a:moveTo>
                                <a:lnTo>
                                  <a:pt x="139" y="140"/>
                                </a:lnTo>
                                <a:lnTo>
                                  <a:pt x="0" y="140"/>
                                </a:lnTo>
                                <a:lnTo>
                                  <a:pt x="70"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6"/>
                        <wps:cNvSpPr>
                          <a:spLocks/>
                        </wps:cNvSpPr>
                        <wps:spPr bwMode="auto">
                          <a:xfrm>
                            <a:off x="4232910" y="2044700"/>
                            <a:ext cx="88265" cy="88900"/>
                          </a:xfrm>
                          <a:custGeom>
                            <a:avLst/>
                            <a:gdLst>
                              <a:gd name="T0" fmla="*/ 70 w 139"/>
                              <a:gd name="T1" fmla="*/ 0 h 140"/>
                              <a:gd name="T2" fmla="*/ 139 w 139"/>
                              <a:gd name="T3" fmla="*/ 140 h 140"/>
                              <a:gd name="T4" fmla="*/ 0 w 139"/>
                              <a:gd name="T5" fmla="*/ 140 h 140"/>
                              <a:gd name="T6" fmla="*/ 70 w 139"/>
                              <a:gd name="T7" fmla="*/ 0 h 140"/>
                            </a:gdLst>
                            <a:ahLst/>
                            <a:cxnLst>
                              <a:cxn ang="0">
                                <a:pos x="T0" y="T1"/>
                              </a:cxn>
                              <a:cxn ang="0">
                                <a:pos x="T2" y="T3"/>
                              </a:cxn>
                              <a:cxn ang="0">
                                <a:pos x="T4" y="T5"/>
                              </a:cxn>
                              <a:cxn ang="0">
                                <a:pos x="T6" y="T7"/>
                              </a:cxn>
                            </a:cxnLst>
                            <a:rect l="0" t="0" r="r" b="b"/>
                            <a:pathLst>
                              <a:path w="139" h="140">
                                <a:moveTo>
                                  <a:pt x="70" y="0"/>
                                </a:moveTo>
                                <a:lnTo>
                                  <a:pt x="139" y="140"/>
                                </a:lnTo>
                                <a:lnTo>
                                  <a:pt x="0" y="140"/>
                                </a:lnTo>
                                <a:lnTo>
                                  <a:pt x="70" y="0"/>
                                </a:lnTo>
                                <a:close/>
                              </a:path>
                            </a:pathLst>
                          </a:custGeom>
                          <a:noFill/>
                          <a:ln w="8890" cap="flat">
                            <a:solidFill>
                              <a:srgbClr val="98B95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67"/>
                        <wps:cNvSpPr>
                          <a:spLocks/>
                        </wps:cNvSpPr>
                        <wps:spPr bwMode="auto">
                          <a:xfrm>
                            <a:off x="4662805" y="2107565"/>
                            <a:ext cx="88265" cy="88265"/>
                          </a:xfrm>
                          <a:custGeom>
                            <a:avLst/>
                            <a:gdLst>
                              <a:gd name="T0" fmla="*/ 70 w 139"/>
                              <a:gd name="T1" fmla="*/ 0 h 139"/>
                              <a:gd name="T2" fmla="*/ 139 w 139"/>
                              <a:gd name="T3" fmla="*/ 139 h 139"/>
                              <a:gd name="T4" fmla="*/ 0 w 139"/>
                              <a:gd name="T5" fmla="*/ 139 h 139"/>
                              <a:gd name="T6" fmla="*/ 70 w 139"/>
                              <a:gd name="T7" fmla="*/ 0 h 139"/>
                            </a:gdLst>
                            <a:ahLst/>
                            <a:cxnLst>
                              <a:cxn ang="0">
                                <a:pos x="T0" y="T1"/>
                              </a:cxn>
                              <a:cxn ang="0">
                                <a:pos x="T2" y="T3"/>
                              </a:cxn>
                              <a:cxn ang="0">
                                <a:pos x="T4" y="T5"/>
                              </a:cxn>
                              <a:cxn ang="0">
                                <a:pos x="T6" y="T7"/>
                              </a:cxn>
                            </a:cxnLst>
                            <a:rect l="0" t="0" r="r" b="b"/>
                            <a:pathLst>
                              <a:path w="139" h="139">
                                <a:moveTo>
                                  <a:pt x="70" y="0"/>
                                </a:moveTo>
                                <a:lnTo>
                                  <a:pt x="139" y="139"/>
                                </a:lnTo>
                                <a:lnTo>
                                  <a:pt x="0" y="139"/>
                                </a:lnTo>
                                <a:lnTo>
                                  <a:pt x="70"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8"/>
                        <wps:cNvSpPr>
                          <a:spLocks/>
                        </wps:cNvSpPr>
                        <wps:spPr bwMode="auto">
                          <a:xfrm>
                            <a:off x="4662805" y="2107565"/>
                            <a:ext cx="88265" cy="88265"/>
                          </a:xfrm>
                          <a:custGeom>
                            <a:avLst/>
                            <a:gdLst>
                              <a:gd name="T0" fmla="*/ 70 w 139"/>
                              <a:gd name="T1" fmla="*/ 0 h 139"/>
                              <a:gd name="T2" fmla="*/ 139 w 139"/>
                              <a:gd name="T3" fmla="*/ 139 h 139"/>
                              <a:gd name="T4" fmla="*/ 0 w 139"/>
                              <a:gd name="T5" fmla="*/ 139 h 139"/>
                              <a:gd name="T6" fmla="*/ 70 w 139"/>
                              <a:gd name="T7" fmla="*/ 0 h 139"/>
                            </a:gdLst>
                            <a:ahLst/>
                            <a:cxnLst>
                              <a:cxn ang="0">
                                <a:pos x="T0" y="T1"/>
                              </a:cxn>
                              <a:cxn ang="0">
                                <a:pos x="T2" y="T3"/>
                              </a:cxn>
                              <a:cxn ang="0">
                                <a:pos x="T4" y="T5"/>
                              </a:cxn>
                              <a:cxn ang="0">
                                <a:pos x="T6" y="T7"/>
                              </a:cxn>
                            </a:cxnLst>
                            <a:rect l="0" t="0" r="r" b="b"/>
                            <a:pathLst>
                              <a:path w="139" h="139">
                                <a:moveTo>
                                  <a:pt x="70" y="0"/>
                                </a:moveTo>
                                <a:lnTo>
                                  <a:pt x="139" y="139"/>
                                </a:lnTo>
                                <a:lnTo>
                                  <a:pt x="0" y="139"/>
                                </a:lnTo>
                                <a:lnTo>
                                  <a:pt x="70" y="0"/>
                                </a:lnTo>
                                <a:close/>
                              </a:path>
                            </a:pathLst>
                          </a:custGeom>
                          <a:noFill/>
                          <a:ln w="8890" cap="flat">
                            <a:solidFill>
                              <a:srgbClr val="98B95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69"/>
                        <wps:cNvSpPr>
                          <a:spLocks/>
                        </wps:cNvSpPr>
                        <wps:spPr bwMode="auto">
                          <a:xfrm>
                            <a:off x="1261110" y="1968500"/>
                            <a:ext cx="3460750" cy="204470"/>
                          </a:xfrm>
                          <a:custGeom>
                            <a:avLst/>
                            <a:gdLst>
                              <a:gd name="T0" fmla="*/ 72 w 18168"/>
                              <a:gd name="T1" fmla="*/ 928 h 1072"/>
                              <a:gd name="T2" fmla="*/ 2320 w 18168"/>
                              <a:gd name="T3" fmla="*/ 928 h 1072"/>
                              <a:gd name="T4" fmla="*/ 2299 w 18168"/>
                              <a:gd name="T5" fmla="*/ 932 h 1072"/>
                              <a:gd name="T6" fmla="*/ 4555 w 18168"/>
                              <a:gd name="T7" fmla="*/ 220 h 1072"/>
                              <a:gd name="T8" fmla="*/ 4576 w 18168"/>
                              <a:gd name="T9" fmla="*/ 216 h 1072"/>
                              <a:gd name="T10" fmla="*/ 6824 w 18168"/>
                              <a:gd name="T11" fmla="*/ 216 h 1072"/>
                              <a:gd name="T12" fmla="*/ 6842 w 18168"/>
                              <a:gd name="T13" fmla="*/ 219 h 1072"/>
                              <a:gd name="T14" fmla="*/ 9098 w 18168"/>
                              <a:gd name="T15" fmla="*/ 787 h 1072"/>
                              <a:gd name="T16" fmla="*/ 9080 w 18168"/>
                              <a:gd name="T17" fmla="*/ 784 h 1072"/>
                              <a:gd name="T18" fmla="*/ 11336 w 18168"/>
                              <a:gd name="T19" fmla="*/ 784 h 1072"/>
                              <a:gd name="T20" fmla="*/ 11313 w 18168"/>
                              <a:gd name="T21" fmla="*/ 788 h 1072"/>
                              <a:gd name="T22" fmla="*/ 13561 w 18168"/>
                              <a:gd name="T23" fmla="*/ 4 h 1072"/>
                              <a:gd name="T24" fmla="*/ 13584 w 18168"/>
                              <a:gd name="T25" fmla="*/ 0 h 1072"/>
                              <a:gd name="T26" fmla="*/ 15840 w 18168"/>
                              <a:gd name="T27" fmla="*/ 0 h 1072"/>
                              <a:gd name="T28" fmla="*/ 15860 w 18168"/>
                              <a:gd name="T29" fmla="*/ 3 h 1072"/>
                              <a:gd name="T30" fmla="*/ 18108 w 18168"/>
                              <a:gd name="T31" fmla="*/ 627 h 1072"/>
                              <a:gd name="T32" fmla="*/ 18158 w 18168"/>
                              <a:gd name="T33" fmla="*/ 716 h 1072"/>
                              <a:gd name="T34" fmla="*/ 18069 w 18168"/>
                              <a:gd name="T35" fmla="*/ 766 h 1072"/>
                              <a:gd name="T36" fmla="*/ 15821 w 18168"/>
                              <a:gd name="T37" fmla="*/ 142 h 1072"/>
                              <a:gd name="T38" fmla="*/ 15840 w 18168"/>
                              <a:gd name="T39" fmla="*/ 144 h 1072"/>
                              <a:gd name="T40" fmla="*/ 13584 w 18168"/>
                              <a:gd name="T41" fmla="*/ 144 h 1072"/>
                              <a:gd name="T42" fmla="*/ 13608 w 18168"/>
                              <a:gd name="T43" fmla="*/ 140 h 1072"/>
                              <a:gd name="T44" fmla="*/ 11360 w 18168"/>
                              <a:gd name="T45" fmla="*/ 924 h 1072"/>
                              <a:gd name="T46" fmla="*/ 11336 w 18168"/>
                              <a:gd name="T47" fmla="*/ 928 h 1072"/>
                              <a:gd name="T48" fmla="*/ 9080 w 18168"/>
                              <a:gd name="T49" fmla="*/ 928 h 1072"/>
                              <a:gd name="T50" fmla="*/ 9063 w 18168"/>
                              <a:gd name="T51" fmla="*/ 926 h 1072"/>
                              <a:gd name="T52" fmla="*/ 6807 w 18168"/>
                              <a:gd name="T53" fmla="*/ 358 h 1072"/>
                              <a:gd name="T54" fmla="*/ 6824 w 18168"/>
                              <a:gd name="T55" fmla="*/ 360 h 1072"/>
                              <a:gd name="T56" fmla="*/ 4576 w 18168"/>
                              <a:gd name="T57" fmla="*/ 360 h 1072"/>
                              <a:gd name="T58" fmla="*/ 4598 w 18168"/>
                              <a:gd name="T59" fmla="*/ 357 h 1072"/>
                              <a:gd name="T60" fmla="*/ 2342 w 18168"/>
                              <a:gd name="T61" fmla="*/ 1069 h 1072"/>
                              <a:gd name="T62" fmla="*/ 2320 w 18168"/>
                              <a:gd name="T63" fmla="*/ 1072 h 1072"/>
                              <a:gd name="T64" fmla="*/ 72 w 18168"/>
                              <a:gd name="T65" fmla="*/ 1072 h 1072"/>
                              <a:gd name="T66" fmla="*/ 0 w 18168"/>
                              <a:gd name="T67" fmla="*/ 1000 h 1072"/>
                              <a:gd name="T68" fmla="*/ 72 w 18168"/>
                              <a:gd name="T69" fmla="*/ 928 h 1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168" h="1072">
                                <a:moveTo>
                                  <a:pt x="72" y="928"/>
                                </a:moveTo>
                                <a:lnTo>
                                  <a:pt x="2320" y="928"/>
                                </a:lnTo>
                                <a:lnTo>
                                  <a:pt x="2299" y="932"/>
                                </a:lnTo>
                                <a:lnTo>
                                  <a:pt x="4555" y="220"/>
                                </a:lnTo>
                                <a:cubicBezTo>
                                  <a:pt x="4562" y="218"/>
                                  <a:pt x="4569" y="216"/>
                                  <a:pt x="4576" y="216"/>
                                </a:cubicBezTo>
                                <a:lnTo>
                                  <a:pt x="6824" y="216"/>
                                </a:lnTo>
                                <a:cubicBezTo>
                                  <a:pt x="6830" y="216"/>
                                  <a:pt x="6836" y="217"/>
                                  <a:pt x="6842" y="219"/>
                                </a:cubicBezTo>
                                <a:lnTo>
                                  <a:pt x="9098" y="787"/>
                                </a:lnTo>
                                <a:lnTo>
                                  <a:pt x="9080" y="784"/>
                                </a:lnTo>
                                <a:lnTo>
                                  <a:pt x="11336" y="784"/>
                                </a:lnTo>
                                <a:lnTo>
                                  <a:pt x="11313" y="788"/>
                                </a:lnTo>
                                <a:lnTo>
                                  <a:pt x="13561" y="4"/>
                                </a:lnTo>
                                <a:cubicBezTo>
                                  <a:pt x="13568" y="2"/>
                                  <a:pt x="13576" y="0"/>
                                  <a:pt x="13584" y="0"/>
                                </a:cubicBezTo>
                                <a:lnTo>
                                  <a:pt x="15840" y="0"/>
                                </a:lnTo>
                                <a:cubicBezTo>
                                  <a:pt x="15847" y="0"/>
                                  <a:pt x="15853" y="1"/>
                                  <a:pt x="15860" y="3"/>
                                </a:cubicBezTo>
                                <a:lnTo>
                                  <a:pt x="18108" y="627"/>
                                </a:lnTo>
                                <a:cubicBezTo>
                                  <a:pt x="18146" y="638"/>
                                  <a:pt x="18168" y="677"/>
                                  <a:pt x="18158" y="716"/>
                                </a:cubicBezTo>
                                <a:cubicBezTo>
                                  <a:pt x="18147" y="754"/>
                                  <a:pt x="18108" y="776"/>
                                  <a:pt x="18069" y="766"/>
                                </a:cubicBezTo>
                                <a:lnTo>
                                  <a:pt x="15821" y="142"/>
                                </a:lnTo>
                                <a:lnTo>
                                  <a:pt x="15840" y="144"/>
                                </a:lnTo>
                                <a:lnTo>
                                  <a:pt x="13584" y="144"/>
                                </a:lnTo>
                                <a:lnTo>
                                  <a:pt x="13608" y="140"/>
                                </a:lnTo>
                                <a:lnTo>
                                  <a:pt x="11360" y="924"/>
                                </a:lnTo>
                                <a:cubicBezTo>
                                  <a:pt x="11353" y="927"/>
                                  <a:pt x="11345" y="928"/>
                                  <a:pt x="11336" y="928"/>
                                </a:cubicBezTo>
                                <a:lnTo>
                                  <a:pt x="9080" y="928"/>
                                </a:lnTo>
                                <a:cubicBezTo>
                                  <a:pt x="9075" y="928"/>
                                  <a:pt x="9069" y="928"/>
                                  <a:pt x="9063" y="926"/>
                                </a:cubicBezTo>
                                <a:lnTo>
                                  <a:pt x="6807" y="358"/>
                                </a:lnTo>
                                <a:lnTo>
                                  <a:pt x="6824" y="360"/>
                                </a:lnTo>
                                <a:lnTo>
                                  <a:pt x="4576" y="360"/>
                                </a:lnTo>
                                <a:lnTo>
                                  <a:pt x="4598" y="357"/>
                                </a:lnTo>
                                <a:lnTo>
                                  <a:pt x="2342" y="1069"/>
                                </a:lnTo>
                                <a:cubicBezTo>
                                  <a:pt x="2335" y="1071"/>
                                  <a:pt x="2328" y="1072"/>
                                  <a:pt x="2320" y="1072"/>
                                </a:cubicBezTo>
                                <a:lnTo>
                                  <a:pt x="72" y="1072"/>
                                </a:lnTo>
                                <a:cubicBezTo>
                                  <a:pt x="33" y="1072"/>
                                  <a:pt x="0" y="1040"/>
                                  <a:pt x="0" y="1000"/>
                                </a:cubicBezTo>
                                <a:cubicBezTo>
                                  <a:pt x="0" y="961"/>
                                  <a:pt x="33" y="928"/>
                                  <a:pt x="72" y="928"/>
                                </a:cubicBezTo>
                                <a:close/>
                              </a:path>
                            </a:pathLst>
                          </a:custGeom>
                          <a:solidFill>
                            <a:srgbClr val="E01F16"/>
                          </a:solidFill>
                          <a:ln w="1270" cap="flat">
                            <a:solidFill>
                              <a:srgbClr val="E01F16"/>
                            </a:solidFill>
                            <a:prstDash val="solid"/>
                            <a:bevel/>
                            <a:headEnd/>
                            <a:tailEnd/>
                          </a:ln>
                        </wps:spPr>
                        <wps:bodyPr rot="0" vert="horz" wrap="square" lIns="91440" tIns="45720" rIns="91440" bIns="45720" anchor="t" anchorCtr="0" upright="1">
                          <a:noAutofit/>
                        </wps:bodyPr>
                      </wps:wsp>
                      <wps:wsp>
                        <wps:cNvPr id="76" name="Rectangle 70"/>
                        <wps:cNvSpPr>
                          <a:spLocks noChangeArrowheads="1"/>
                        </wps:cNvSpPr>
                        <wps:spPr bwMode="auto">
                          <a:xfrm>
                            <a:off x="1229360" y="2113280"/>
                            <a:ext cx="88265" cy="889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71"/>
                        <wps:cNvSpPr>
                          <a:spLocks noChangeArrowheads="1"/>
                        </wps:cNvSpPr>
                        <wps:spPr bwMode="auto">
                          <a:xfrm>
                            <a:off x="1229360" y="2113280"/>
                            <a:ext cx="88265" cy="88900"/>
                          </a:xfrm>
                          <a:prstGeom prst="rect">
                            <a:avLst/>
                          </a:prstGeom>
                          <a:noFill/>
                          <a:ln w="8890" cap="flat">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72"/>
                        <wps:cNvSpPr>
                          <a:spLocks noChangeArrowheads="1"/>
                        </wps:cNvSpPr>
                        <wps:spPr bwMode="auto">
                          <a:xfrm>
                            <a:off x="1658620" y="2113280"/>
                            <a:ext cx="88900" cy="889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73"/>
                        <wps:cNvSpPr>
                          <a:spLocks noChangeArrowheads="1"/>
                        </wps:cNvSpPr>
                        <wps:spPr bwMode="auto">
                          <a:xfrm>
                            <a:off x="1658620" y="2113280"/>
                            <a:ext cx="88900" cy="88900"/>
                          </a:xfrm>
                          <a:prstGeom prst="rect">
                            <a:avLst/>
                          </a:prstGeom>
                          <a:noFill/>
                          <a:ln w="8890" cap="flat">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74"/>
                        <wps:cNvSpPr>
                          <a:spLocks noChangeArrowheads="1"/>
                        </wps:cNvSpPr>
                        <wps:spPr bwMode="auto">
                          <a:xfrm>
                            <a:off x="2087245" y="1978025"/>
                            <a:ext cx="88265" cy="8826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75"/>
                        <wps:cNvSpPr>
                          <a:spLocks noChangeArrowheads="1"/>
                        </wps:cNvSpPr>
                        <wps:spPr bwMode="auto">
                          <a:xfrm>
                            <a:off x="2087245" y="1978025"/>
                            <a:ext cx="88265" cy="88265"/>
                          </a:xfrm>
                          <a:prstGeom prst="rect">
                            <a:avLst/>
                          </a:prstGeom>
                          <a:noFill/>
                          <a:ln w="8890" cap="flat">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76"/>
                        <wps:cNvSpPr>
                          <a:spLocks noChangeArrowheads="1"/>
                        </wps:cNvSpPr>
                        <wps:spPr bwMode="auto">
                          <a:xfrm>
                            <a:off x="2517140" y="1978025"/>
                            <a:ext cx="88265" cy="8826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77"/>
                        <wps:cNvSpPr>
                          <a:spLocks noChangeArrowheads="1"/>
                        </wps:cNvSpPr>
                        <wps:spPr bwMode="auto">
                          <a:xfrm>
                            <a:off x="2517140" y="1978025"/>
                            <a:ext cx="88265" cy="88265"/>
                          </a:xfrm>
                          <a:prstGeom prst="rect">
                            <a:avLst/>
                          </a:prstGeom>
                          <a:noFill/>
                          <a:ln w="8890" cap="flat">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78"/>
                        <wps:cNvSpPr>
                          <a:spLocks noChangeArrowheads="1"/>
                        </wps:cNvSpPr>
                        <wps:spPr bwMode="auto">
                          <a:xfrm>
                            <a:off x="2945130" y="2087880"/>
                            <a:ext cx="88265" cy="8826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79"/>
                        <wps:cNvSpPr>
                          <a:spLocks noChangeArrowheads="1"/>
                        </wps:cNvSpPr>
                        <wps:spPr bwMode="auto">
                          <a:xfrm>
                            <a:off x="2945130" y="2087880"/>
                            <a:ext cx="88265" cy="88265"/>
                          </a:xfrm>
                          <a:prstGeom prst="rect">
                            <a:avLst/>
                          </a:prstGeom>
                          <a:noFill/>
                          <a:ln w="8890" cap="flat">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80"/>
                        <wps:cNvSpPr>
                          <a:spLocks noChangeArrowheads="1"/>
                        </wps:cNvSpPr>
                        <wps:spPr bwMode="auto">
                          <a:xfrm>
                            <a:off x="3375025" y="2087880"/>
                            <a:ext cx="88265" cy="8826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81"/>
                        <wps:cNvSpPr>
                          <a:spLocks noChangeArrowheads="1"/>
                        </wps:cNvSpPr>
                        <wps:spPr bwMode="auto">
                          <a:xfrm>
                            <a:off x="3375025" y="2087880"/>
                            <a:ext cx="88265" cy="88265"/>
                          </a:xfrm>
                          <a:prstGeom prst="rect">
                            <a:avLst/>
                          </a:prstGeom>
                          <a:noFill/>
                          <a:ln w="8890" cap="flat">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82"/>
                        <wps:cNvSpPr>
                          <a:spLocks noChangeArrowheads="1"/>
                        </wps:cNvSpPr>
                        <wps:spPr bwMode="auto">
                          <a:xfrm>
                            <a:off x="3804920" y="1936750"/>
                            <a:ext cx="88265" cy="8826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83"/>
                        <wps:cNvSpPr>
                          <a:spLocks noChangeArrowheads="1"/>
                        </wps:cNvSpPr>
                        <wps:spPr bwMode="auto">
                          <a:xfrm>
                            <a:off x="3804920" y="1936750"/>
                            <a:ext cx="88265" cy="88265"/>
                          </a:xfrm>
                          <a:prstGeom prst="rect">
                            <a:avLst/>
                          </a:prstGeom>
                          <a:noFill/>
                          <a:ln w="8890" cap="flat">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84"/>
                        <wps:cNvSpPr>
                          <a:spLocks noChangeArrowheads="1"/>
                        </wps:cNvSpPr>
                        <wps:spPr bwMode="auto">
                          <a:xfrm>
                            <a:off x="4232910" y="1936750"/>
                            <a:ext cx="88265" cy="8826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5"/>
                        <wps:cNvSpPr>
                          <a:spLocks noChangeArrowheads="1"/>
                        </wps:cNvSpPr>
                        <wps:spPr bwMode="auto">
                          <a:xfrm>
                            <a:off x="4232910" y="1936750"/>
                            <a:ext cx="88265" cy="88265"/>
                          </a:xfrm>
                          <a:prstGeom prst="rect">
                            <a:avLst/>
                          </a:prstGeom>
                          <a:noFill/>
                          <a:ln w="8890" cap="flat">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86"/>
                        <wps:cNvSpPr>
                          <a:spLocks noChangeArrowheads="1"/>
                        </wps:cNvSpPr>
                        <wps:spPr bwMode="auto">
                          <a:xfrm>
                            <a:off x="4662805" y="2057400"/>
                            <a:ext cx="88265" cy="8826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87"/>
                        <wps:cNvSpPr>
                          <a:spLocks noChangeArrowheads="1"/>
                        </wps:cNvSpPr>
                        <wps:spPr bwMode="auto">
                          <a:xfrm>
                            <a:off x="4662805" y="2057400"/>
                            <a:ext cx="88265" cy="88265"/>
                          </a:xfrm>
                          <a:prstGeom prst="rect">
                            <a:avLst/>
                          </a:prstGeom>
                          <a:noFill/>
                          <a:ln w="8890" cap="flat">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88"/>
                        <wps:cNvSpPr>
                          <a:spLocks/>
                        </wps:cNvSpPr>
                        <wps:spPr bwMode="auto">
                          <a:xfrm>
                            <a:off x="1259205" y="1559560"/>
                            <a:ext cx="3462655" cy="348615"/>
                          </a:xfrm>
                          <a:custGeom>
                            <a:avLst/>
                            <a:gdLst>
                              <a:gd name="T0" fmla="*/ 44 w 18178"/>
                              <a:gd name="T1" fmla="*/ 1687 h 1830"/>
                              <a:gd name="T2" fmla="*/ 2292 w 18178"/>
                              <a:gd name="T3" fmla="*/ 271 h 1830"/>
                              <a:gd name="T4" fmla="*/ 2352 w 18178"/>
                              <a:gd name="T5" fmla="*/ 263 h 1830"/>
                              <a:gd name="T6" fmla="*/ 4608 w 18178"/>
                              <a:gd name="T7" fmla="*/ 975 h 1830"/>
                              <a:gd name="T8" fmla="*/ 4586 w 18178"/>
                              <a:gd name="T9" fmla="*/ 971 h 1830"/>
                              <a:gd name="T10" fmla="*/ 6834 w 18178"/>
                              <a:gd name="T11" fmla="*/ 971 h 1830"/>
                              <a:gd name="T12" fmla="*/ 6851 w 18178"/>
                              <a:gd name="T13" fmla="*/ 973 h 1830"/>
                              <a:gd name="T14" fmla="*/ 9107 w 18178"/>
                              <a:gd name="T15" fmla="*/ 1509 h 1830"/>
                              <a:gd name="T16" fmla="*/ 9051 w 18178"/>
                              <a:gd name="T17" fmla="*/ 1520 h 1830"/>
                              <a:gd name="T18" fmla="*/ 11307 w 18178"/>
                              <a:gd name="T19" fmla="*/ 16 h 1830"/>
                              <a:gd name="T20" fmla="*/ 11369 w 18178"/>
                              <a:gd name="T21" fmla="*/ 7 h 1830"/>
                              <a:gd name="T22" fmla="*/ 13617 w 18178"/>
                              <a:gd name="T23" fmla="*/ 759 h 1830"/>
                              <a:gd name="T24" fmla="*/ 13594 w 18178"/>
                              <a:gd name="T25" fmla="*/ 755 h 1830"/>
                              <a:gd name="T26" fmla="*/ 15850 w 18178"/>
                              <a:gd name="T27" fmla="*/ 755 h 1830"/>
                              <a:gd name="T28" fmla="*/ 15868 w 18178"/>
                              <a:gd name="T29" fmla="*/ 758 h 1830"/>
                              <a:gd name="T30" fmla="*/ 18116 w 18178"/>
                              <a:gd name="T31" fmla="*/ 1326 h 1830"/>
                              <a:gd name="T32" fmla="*/ 18168 w 18178"/>
                              <a:gd name="T33" fmla="*/ 1413 h 1830"/>
                              <a:gd name="T34" fmla="*/ 18081 w 18178"/>
                              <a:gd name="T35" fmla="*/ 1465 h 1830"/>
                              <a:gd name="T36" fmla="*/ 15833 w 18178"/>
                              <a:gd name="T37" fmla="*/ 897 h 1830"/>
                              <a:gd name="T38" fmla="*/ 15850 w 18178"/>
                              <a:gd name="T39" fmla="*/ 899 h 1830"/>
                              <a:gd name="T40" fmla="*/ 13594 w 18178"/>
                              <a:gd name="T41" fmla="*/ 899 h 1830"/>
                              <a:gd name="T42" fmla="*/ 13572 w 18178"/>
                              <a:gd name="T43" fmla="*/ 896 h 1830"/>
                              <a:gd name="T44" fmla="*/ 11324 w 18178"/>
                              <a:gd name="T45" fmla="*/ 144 h 1830"/>
                              <a:gd name="T46" fmla="*/ 11386 w 18178"/>
                              <a:gd name="T47" fmla="*/ 135 h 1830"/>
                              <a:gd name="T48" fmla="*/ 9130 w 18178"/>
                              <a:gd name="T49" fmla="*/ 1639 h 1830"/>
                              <a:gd name="T50" fmla="*/ 9074 w 18178"/>
                              <a:gd name="T51" fmla="*/ 1650 h 1830"/>
                              <a:gd name="T52" fmla="*/ 6818 w 18178"/>
                              <a:gd name="T53" fmla="*/ 1114 h 1830"/>
                              <a:gd name="T54" fmla="*/ 6834 w 18178"/>
                              <a:gd name="T55" fmla="*/ 1115 h 1830"/>
                              <a:gd name="T56" fmla="*/ 4586 w 18178"/>
                              <a:gd name="T57" fmla="*/ 1115 h 1830"/>
                              <a:gd name="T58" fmla="*/ 4565 w 18178"/>
                              <a:gd name="T59" fmla="*/ 1112 h 1830"/>
                              <a:gd name="T60" fmla="*/ 2309 w 18178"/>
                              <a:gd name="T61" fmla="*/ 400 h 1830"/>
                              <a:gd name="T62" fmla="*/ 2369 w 18178"/>
                              <a:gd name="T63" fmla="*/ 392 h 1830"/>
                              <a:gd name="T64" fmla="*/ 121 w 18178"/>
                              <a:gd name="T65" fmla="*/ 1808 h 1830"/>
                              <a:gd name="T66" fmla="*/ 22 w 18178"/>
                              <a:gd name="T67" fmla="*/ 1786 h 1830"/>
                              <a:gd name="T68" fmla="*/ 44 w 18178"/>
                              <a:gd name="T69" fmla="*/ 1687 h 1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178" h="1830">
                                <a:moveTo>
                                  <a:pt x="44" y="1687"/>
                                </a:moveTo>
                                <a:lnTo>
                                  <a:pt x="2292" y="271"/>
                                </a:lnTo>
                                <a:cubicBezTo>
                                  <a:pt x="2310" y="259"/>
                                  <a:pt x="2332" y="256"/>
                                  <a:pt x="2352" y="263"/>
                                </a:cubicBezTo>
                                <a:lnTo>
                                  <a:pt x="4608" y="975"/>
                                </a:lnTo>
                                <a:lnTo>
                                  <a:pt x="4586" y="971"/>
                                </a:lnTo>
                                <a:lnTo>
                                  <a:pt x="6834" y="971"/>
                                </a:lnTo>
                                <a:cubicBezTo>
                                  <a:pt x="6840" y="971"/>
                                  <a:pt x="6846" y="972"/>
                                  <a:pt x="6851" y="973"/>
                                </a:cubicBezTo>
                                <a:lnTo>
                                  <a:pt x="9107" y="1509"/>
                                </a:lnTo>
                                <a:lnTo>
                                  <a:pt x="9051" y="1520"/>
                                </a:lnTo>
                                <a:lnTo>
                                  <a:pt x="11307" y="16"/>
                                </a:lnTo>
                                <a:cubicBezTo>
                                  <a:pt x="11325" y="3"/>
                                  <a:pt x="11348" y="0"/>
                                  <a:pt x="11369" y="7"/>
                                </a:cubicBezTo>
                                <a:lnTo>
                                  <a:pt x="13617" y="759"/>
                                </a:lnTo>
                                <a:lnTo>
                                  <a:pt x="13594" y="755"/>
                                </a:lnTo>
                                <a:lnTo>
                                  <a:pt x="15850" y="755"/>
                                </a:lnTo>
                                <a:cubicBezTo>
                                  <a:pt x="15856" y="755"/>
                                  <a:pt x="15862" y="756"/>
                                  <a:pt x="15868" y="758"/>
                                </a:cubicBezTo>
                                <a:lnTo>
                                  <a:pt x="18116" y="1326"/>
                                </a:lnTo>
                                <a:cubicBezTo>
                                  <a:pt x="18155" y="1335"/>
                                  <a:pt x="18178" y="1375"/>
                                  <a:pt x="18168" y="1413"/>
                                </a:cubicBezTo>
                                <a:cubicBezTo>
                                  <a:pt x="18159" y="1452"/>
                                  <a:pt x="18119" y="1475"/>
                                  <a:pt x="18081" y="1465"/>
                                </a:cubicBezTo>
                                <a:lnTo>
                                  <a:pt x="15833" y="897"/>
                                </a:lnTo>
                                <a:lnTo>
                                  <a:pt x="15850" y="899"/>
                                </a:lnTo>
                                <a:lnTo>
                                  <a:pt x="13594" y="899"/>
                                </a:lnTo>
                                <a:cubicBezTo>
                                  <a:pt x="13587" y="899"/>
                                  <a:pt x="13579" y="898"/>
                                  <a:pt x="13572" y="896"/>
                                </a:cubicBezTo>
                                <a:lnTo>
                                  <a:pt x="11324" y="144"/>
                                </a:lnTo>
                                <a:lnTo>
                                  <a:pt x="11386" y="135"/>
                                </a:lnTo>
                                <a:lnTo>
                                  <a:pt x="9130" y="1639"/>
                                </a:lnTo>
                                <a:cubicBezTo>
                                  <a:pt x="9114" y="1650"/>
                                  <a:pt x="9093" y="1654"/>
                                  <a:pt x="9074" y="1650"/>
                                </a:cubicBezTo>
                                <a:lnTo>
                                  <a:pt x="6818" y="1114"/>
                                </a:lnTo>
                                <a:lnTo>
                                  <a:pt x="6834" y="1115"/>
                                </a:lnTo>
                                <a:lnTo>
                                  <a:pt x="4586" y="1115"/>
                                </a:lnTo>
                                <a:cubicBezTo>
                                  <a:pt x="4579" y="1115"/>
                                  <a:pt x="4572" y="1114"/>
                                  <a:pt x="4565" y="1112"/>
                                </a:cubicBezTo>
                                <a:lnTo>
                                  <a:pt x="2309" y="400"/>
                                </a:lnTo>
                                <a:lnTo>
                                  <a:pt x="2369" y="392"/>
                                </a:lnTo>
                                <a:lnTo>
                                  <a:pt x="121" y="1808"/>
                                </a:lnTo>
                                <a:cubicBezTo>
                                  <a:pt x="87" y="1830"/>
                                  <a:pt x="43" y="1819"/>
                                  <a:pt x="22" y="1786"/>
                                </a:cubicBezTo>
                                <a:cubicBezTo>
                                  <a:pt x="0" y="1752"/>
                                  <a:pt x="10" y="1708"/>
                                  <a:pt x="44" y="1687"/>
                                </a:cubicBezTo>
                                <a:close/>
                              </a:path>
                            </a:pathLst>
                          </a:custGeom>
                          <a:solidFill>
                            <a:srgbClr val="D8A851"/>
                          </a:solidFill>
                          <a:ln w="1270" cap="flat">
                            <a:solidFill>
                              <a:srgbClr val="D8A851"/>
                            </a:solidFill>
                            <a:prstDash val="solid"/>
                            <a:bevel/>
                            <a:headEnd/>
                            <a:tailEnd/>
                          </a:ln>
                        </wps:spPr>
                        <wps:bodyPr rot="0" vert="horz" wrap="square" lIns="91440" tIns="45720" rIns="91440" bIns="45720" anchor="t" anchorCtr="0" upright="1">
                          <a:noAutofit/>
                        </wps:bodyPr>
                      </wps:wsp>
                      <wps:wsp>
                        <wps:cNvPr id="95" name="Freeform 89"/>
                        <wps:cNvSpPr>
                          <a:spLocks noEditPoints="1"/>
                        </wps:cNvSpPr>
                        <wps:spPr bwMode="auto">
                          <a:xfrm>
                            <a:off x="1215390" y="1834515"/>
                            <a:ext cx="115570" cy="116205"/>
                          </a:xfrm>
                          <a:custGeom>
                            <a:avLst/>
                            <a:gdLst>
                              <a:gd name="T0" fmla="*/ 182 w 182"/>
                              <a:gd name="T1" fmla="*/ 183 h 183"/>
                              <a:gd name="T2" fmla="*/ 0 w 182"/>
                              <a:gd name="T3" fmla="*/ 0 h 183"/>
                              <a:gd name="T4" fmla="*/ 91 w 182"/>
                              <a:gd name="T5" fmla="*/ 0 h 183"/>
                              <a:gd name="T6" fmla="*/ 91 w 182"/>
                              <a:gd name="T7" fmla="*/ 183 h 183"/>
                              <a:gd name="T8" fmla="*/ 0 w 182"/>
                              <a:gd name="T9" fmla="*/ 183 h 183"/>
                              <a:gd name="T10" fmla="*/ 182 w 182"/>
                              <a:gd name="T11" fmla="*/ 0 h 183"/>
                            </a:gdLst>
                            <a:ahLst/>
                            <a:cxnLst>
                              <a:cxn ang="0">
                                <a:pos x="T0" y="T1"/>
                              </a:cxn>
                              <a:cxn ang="0">
                                <a:pos x="T2" y="T3"/>
                              </a:cxn>
                              <a:cxn ang="0">
                                <a:pos x="T4" y="T5"/>
                              </a:cxn>
                              <a:cxn ang="0">
                                <a:pos x="T6" y="T7"/>
                              </a:cxn>
                              <a:cxn ang="0">
                                <a:pos x="T8" y="T9"/>
                              </a:cxn>
                              <a:cxn ang="0">
                                <a:pos x="T10" y="T11"/>
                              </a:cxn>
                            </a:cxnLst>
                            <a:rect l="0" t="0" r="r" b="b"/>
                            <a:pathLst>
                              <a:path w="182" h="183">
                                <a:moveTo>
                                  <a:pt x="182" y="183"/>
                                </a:moveTo>
                                <a:lnTo>
                                  <a:pt x="0" y="0"/>
                                </a:lnTo>
                                <a:moveTo>
                                  <a:pt x="91" y="0"/>
                                </a:moveTo>
                                <a:lnTo>
                                  <a:pt x="91" y="183"/>
                                </a:lnTo>
                                <a:moveTo>
                                  <a:pt x="0" y="183"/>
                                </a:moveTo>
                                <a:lnTo>
                                  <a:pt x="182" y="0"/>
                                </a:lnTo>
                              </a:path>
                            </a:pathLst>
                          </a:custGeom>
                          <a:noFill/>
                          <a:ln w="12065" cap="flat">
                            <a:solidFill>
                              <a:srgbClr val="E46C0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90"/>
                        <wps:cNvSpPr>
                          <a:spLocks noEditPoints="1"/>
                        </wps:cNvSpPr>
                        <wps:spPr bwMode="auto">
                          <a:xfrm>
                            <a:off x="1645285" y="1564640"/>
                            <a:ext cx="115570" cy="116205"/>
                          </a:xfrm>
                          <a:custGeom>
                            <a:avLst/>
                            <a:gdLst>
                              <a:gd name="T0" fmla="*/ 182 w 182"/>
                              <a:gd name="T1" fmla="*/ 183 h 183"/>
                              <a:gd name="T2" fmla="*/ 0 w 182"/>
                              <a:gd name="T3" fmla="*/ 0 h 183"/>
                              <a:gd name="T4" fmla="*/ 91 w 182"/>
                              <a:gd name="T5" fmla="*/ 0 h 183"/>
                              <a:gd name="T6" fmla="*/ 91 w 182"/>
                              <a:gd name="T7" fmla="*/ 183 h 183"/>
                              <a:gd name="T8" fmla="*/ 0 w 182"/>
                              <a:gd name="T9" fmla="*/ 183 h 183"/>
                              <a:gd name="T10" fmla="*/ 182 w 182"/>
                              <a:gd name="T11" fmla="*/ 0 h 183"/>
                            </a:gdLst>
                            <a:ahLst/>
                            <a:cxnLst>
                              <a:cxn ang="0">
                                <a:pos x="T0" y="T1"/>
                              </a:cxn>
                              <a:cxn ang="0">
                                <a:pos x="T2" y="T3"/>
                              </a:cxn>
                              <a:cxn ang="0">
                                <a:pos x="T4" y="T5"/>
                              </a:cxn>
                              <a:cxn ang="0">
                                <a:pos x="T6" y="T7"/>
                              </a:cxn>
                              <a:cxn ang="0">
                                <a:pos x="T8" y="T9"/>
                              </a:cxn>
                              <a:cxn ang="0">
                                <a:pos x="T10" y="T11"/>
                              </a:cxn>
                            </a:cxnLst>
                            <a:rect l="0" t="0" r="r" b="b"/>
                            <a:pathLst>
                              <a:path w="182" h="183">
                                <a:moveTo>
                                  <a:pt x="182" y="183"/>
                                </a:moveTo>
                                <a:lnTo>
                                  <a:pt x="0" y="0"/>
                                </a:lnTo>
                                <a:moveTo>
                                  <a:pt x="91" y="0"/>
                                </a:moveTo>
                                <a:lnTo>
                                  <a:pt x="91" y="183"/>
                                </a:lnTo>
                                <a:moveTo>
                                  <a:pt x="0" y="183"/>
                                </a:moveTo>
                                <a:lnTo>
                                  <a:pt x="182" y="0"/>
                                </a:lnTo>
                              </a:path>
                            </a:pathLst>
                          </a:custGeom>
                          <a:noFill/>
                          <a:ln w="12065" cap="flat">
                            <a:solidFill>
                              <a:srgbClr val="E46C0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91"/>
                        <wps:cNvSpPr>
                          <a:spLocks noEditPoints="1"/>
                        </wps:cNvSpPr>
                        <wps:spPr bwMode="auto">
                          <a:xfrm>
                            <a:off x="2073275" y="1698625"/>
                            <a:ext cx="116205" cy="116205"/>
                          </a:xfrm>
                          <a:custGeom>
                            <a:avLst/>
                            <a:gdLst>
                              <a:gd name="T0" fmla="*/ 183 w 183"/>
                              <a:gd name="T1" fmla="*/ 183 h 183"/>
                              <a:gd name="T2" fmla="*/ 0 w 183"/>
                              <a:gd name="T3" fmla="*/ 0 h 183"/>
                              <a:gd name="T4" fmla="*/ 91 w 183"/>
                              <a:gd name="T5" fmla="*/ 0 h 183"/>
                              <a:gd name="T6" fmla="*/ 91 w 183"/>
                              <a:gd name="T7" fmla="*/ 183 h 183"/>
                              <a:gd name="T8" fmla="*/ 0 w 183"/>
                              <a:gd name="T9" fmla="*/ 183 h 183"/>
                              <a:gd name="T10" fmla="*/ 183 w 183"/>
                              <a:gd name="T11" fmla="*/ 0 h 183"/>
                            </a:gdLst>
                            <a:ahLst/>
                            <a:cxnLst>
                              <a:cxn ang="0">
                                <a:pos x="T0" y="T1"/>
                              </a:cxn>
                              <a:cxn ang="0">
                                <a:pos x="T2" y="T3"/>
                              </a:cxn>
                              <a:cxn ang="0">
                                <a:pos x="T4" y="T5"/>
                              </a:cxn>
                              <a:cxn ang="0">
                                <a:pos x="T6" y="T7"/>
                              </a:cxn>
                              <a:cxn ang="0">
                                <a:pos x="T8" y="T9"/>
                              </a:cxn>
                              <a:cxn ang="0">
                                <a:pos x="T10" y="T11"/>
                              </a:cxn>
                            </a:cxnLst>
                            <a:rect l="0" t="0" r="r" b="b"/>
                            <a:pathLst>
                              <a:path w="183" h="183">
                                <a:moveTo>
                                  <a:pt x="183" y="183"/>
                                </a:moveTo>
                                <a:lnTo>
                                  <a:pt x="0" y="0"/>
                                </a:lnTo>
                                <a:moveTo>
                                  <a:pt x="91" y="0"/>
                                </a:moveTo>
                                <a:lnTo>
                                  <a:pt x="91" y="183"/>
                                </a:lnTo>
                                <a:moveTo>
                                  <a:pt x="0" y="183"/>
                                </a:moveTo>
                                <a:lnTo>
                                  <a:pt x="183" y="0"/>
                                </a:lnTo>
                              </a:path>
                            </a:pathLst>
                          </a:custGeom>
                          <a:noFill/>
                          <a:ln w="12065" cap="flat">
                            <a:solidFill>
                              <a:srgbClr val="E46C0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92"/>
                        <wps:cNvSpPr>
                          <a:spLocks noEditPoints="1"/>
                        </wps:cNvSpPr>
                        <wps:spPr bwMode="auto">
                          <a:xfrm>
                            <a:off x="2503170" y="1698625"/>
                            <a:ext cx="115570" cy="116205"/>
                          </a:xfrm>
                          <a:custGeom>
                            <a:avLst/>
                            <a:gdLst>
                              <a:gd name="T0" fmla="*/ 182 w 182"/>
                              <a:gd name="T1" fmla="*/ 183 h 183"/>
                              <a:gd name="T2" fmla="*/ 0 w 182"/>
                              <a:gd name="T3" fmla="*/ 0 h 183"/>
                              <a:gd name="T4" fmla="*/ 91 w 182"/>
                              <a:gd name="T5" fmla="*/ 0 h 183"/>
                              <a:gd name="T6" fmla="*/ 91 w 182"/>
                              <a:gd name="T7" fmla="*/ 183 h 183"/>
                              <a:gd name="T8" fmla="*/ 0 w 182"/>
                              <a:gd name="T9" fmla="*/ 183 h 183"/>
                              <a:gd name="T10" fmla="*/ 182 w 182"/>
                              <a:gd name="T11" fmla="*/ 0 h 183"/>
                            </a:gdLst>
                            <a:ahLst/>
                            <a:cxnLst>
                              <a:cxn ang="0">
                                <a:pos x="T0" y="T1"/>
                              </a:cxn>
                              <a:cxn ang="0">
                                <a:pos x="T2" y="T3"/>
                              </a:cxn>
                              <a:cxn ang="0">
                                <a:pos x="T4" y="T5"/>
                              </a:cxn>
                              <a:cxn ang="0">
                                <a:pos x="T6" y="T7"/>
                              </a:cxn>
                              <a:cxn ang="0">
                                <a:pos x="T8" y="T9"/>
                              </a:cxn>
                              <a:cxn ang="0">
                                <a:pos x="T10" y="T11"/>
                              </a:cxn>
                            </a:cxnLst>
                            <a:rect l="0" t="0" r="r" b="b"/>
                            <a:pathLst>
                              <a:path w="182" h="183">
                                <a:moveTo>
                                  <a:pt x="182" y="183"/>
                                </a:moveTo>
                                <a:lnTo>
                                  <a:pt x="0" y="0"/>
                                </a:lnTo>
                                <a:moveTo>
                                  <a:pt x="91" y="0"/>
                                </a:moveTo>
                                <a:lnTo>
                                  <a:pt x="91" y="183"/>
                                </a:lnTo>
                                <a:moveTo>
                                  <a:pt x="0" y="183"/>
                                </a:moveTo>
                                <a:lnTo>
                                  <a:pt x="182" y="0"/>
                                </a:lnTo>
                              </a:path>
                            </a:pathLst>
                          </a:custGeom>
                          <a:noFill/>
                          <a:ln w="12065" cap="flat">
                            <a:solidFill>
                              <a:srgbClr val="E46C0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93"/>
                        <wps:cNvSpPr>
                          <a:spLocks noEditPoints="1"/>
                        </wps:cNvSpPr>
                        <wps:spPr bwMode="auto">
                          <a:xfrm>
                            <a:off x="2931160" y="1800860"/>
                            <a:ext cx="116205" cy="116205"/>
                          </a:xfrm>
                          <a:custGeom>
                            <a:avLst/>
                            <a:gdLst>
                              <a:gd name="T0" fmla="*/ 183 w 183"/>
                              <a:gd name="T1" fmla="*/ 183 h 183"/>
                              <a:gd name="T2" fmla="*/ 0 w 183"/>
                              <a:gd name="T3" fmla="*/ 0 h 183"/>
                              <a:gd name="T4" fmla="*/ 92 w 183"/>
                              <a:gd name="T5" fmla="*/ 0 h 183"/>
                              <a:gd name="T6" fmla="*/ 92 w 183"/>
                              <a:gd name="T7" fmla="*/ 183 h 183"/>
                              <a:gd name="T8" fmla="*/ 0 w 183"/>
                              <a:gd name="T9" fmla="*/ 183 h 183"/>
                              <a:gd name="T10" fmla="*/ 183 w 183"/>
                              <a:gd name="T11" fmla="*/ 0 h 183"/>
                            </a:gdLst>
                            <a:ahLst/>
                            <a:cxnLst>
                              <a:cxn ang="0">
                                <a:pos x="T0" y="T1"/>
                              </a:cxn>
                              <a:cxn ang="0">
                                <a:pos x="T2" y="T3"/>
                              </a:cxn>
                              <a:cxn ang="0">
                                <a:pos x="T4" y="T5"/>
                              </a:cxn>
                              <a:cxn ang="0">
                                <a:pos x="T6" y="T7"/>
                              </a:cxn>
                              <a:cxn ang="0">
                                <a:pos x="T8" y="T9"/>
                              </a:cxn>
                              <a:cxn ang="0">
                                <a:pos x="T10" y="T11"/>
                              </a:cxn>
                            </a:cxnLst>
                            <a:rect l="0" t="0" r="r" b="b"/>
                            <a:pathLst>
                              <a:path w="183" h="183">
                                <a:moveTo>
                                  <a:pt x="183" y="183"/>
                                </a:moveTo>
                                <a:lnTo>
                                  <a:pt x="0" y="0"/>
                                </a:lnTo>
                                <a:moveTo>
                                  <a:pt x="92" y="0"/>
                                </a:moveTo>
                                <a:lnTo>
                                  <a:pt x="92" y="183"/>
                                </a:lnTo>
                                <a:moveTo>
                                  <a:pt x="0" y="183"/>
                                </a:moveTo>
                                <a:lnTo>
                                  <a:pt x="183" y="0"/>
                                </a:lnTo>
                              </a:path>
                            </a:pathLst>
                          </a:custGeom>
                          <a:noFill/>
                          <a:ln w="12065" cap="flat">
                            <a:solidFill>
                              <a:srgbClr val="E46C0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94"/>
                        <wps:cNvSpPr>
                          <a:spLocks noEditPoints="1"/>
                        </wps:cNvSpPr>
                        <wps:spPr bwMode="auto">
                          <a:xfrm>
                            <a:off x="3361055" y="1515745"/>
                            <a:ext cx="116205" cy="116205"/>
                          </a:xfrm>
                          <a:custGeom>
                            <a:avLst/>
                            <a:gdLst>
                              <a:gd name="T0" fmla="*/ 183 w 183"/>
                              <a:gd name="T1" fmla="*/ 183 h 183"/>
                              <a:gd name="T2" fmla="*/ 0 w 183"/>
                              <a:gd name="T3" fmla="*/ 0 h 183"/>
                              <a:gd name="T4" fmla="*/ 91 w 183"/>
                              <a:gd name="T5" fmla="*/ 0 h 183"/>
                              <a:gd name="T6" fmla="*/ 91 w 183"/>
                              <a:gd name="T7" fmla="*/ 183 h 183"/>
                              <a:gd name="T8" fmla="*/ 0 w 183"/>
                              <a:gd name="T9" fmla="*/ 183 h 183"/>
                              <a:gd name="T10" fmla="*/ 183 w 183"/>
                              <a:gd name="T11" fmla="*/ 0 h 183"/>
                            </a:gdLst>
                            <a:ahLst/>
                            <a:cxnLst>
                              <a:cxn ang="0">
                                <a:pos x="T0" y="T1"/>
                              </a:cxn>
                              <a:cxn ang="0">
                                <a:pos x="T2" y="T3"/>
                              </a:cxn>
                              <a:cxn ang="0">
                                <a:pos x="T4" y="T5"/>
                              </a:cxn>
                              <a:cxn ang="0">
                                <a:pos x="T6" y="T7"/>
                              </a:cxn>
                              <a:cxn ang="0">
                                <a:pos x="T8" y="T9"/>
                              </a:cxn>
                              <a:cxn ang="0">
                                <a:pos x="T10" y="T11"/>
                              </a:cxn>
                            </a:cxnLst>
                            <a:rect l="0" t="0" r="r" b="b"/>
                            <a:pathLst>
                              <a:path w="183" h="183">
                                <a:moveTo>
                                  <a:pt x="183" y="183"/>
                                </a:moveTo>
                                <a:lnTo>
                                  <a:pt x="0" y="0"/>
                                </a:lnTo>
                                <a:moveTo>
                                  <a:pt x="91" y="0"/>
                                </a:moveTo>
                                <a:lnTo>
                                  <a:pt x="91" y="183"/>
                                </a:lnTo>
                                <a:moveTo>
                                  <a:pt x="0" y="183"/>
                                </a:moveTo>
                                <a:lnTo>
                                  <a:pt x="183" y="0"/>
                                </a:lnTo>
                              </a:path>
                            </a:pathLst>
                          </a:custGeom>
                          <a:noFill/>
                          <a:ln w="12065" cap="flat">
                            <a:solidFill>
                              <a:srgbClr val="E46C0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95"/>
                        <wps:cNvSpPr>
                          <a:spLocks noEditPoints="1"/>
                        </wps:cNvSpPr>
                        <wps:spPr bwMode="auto">
                          <a:xfrm>
                            <a:off x="3790950" y="1659255"/>
                            <a:ext cx="115570" cy="116205"/>
                          </a:xfrm>
                          <a:custGeom>
                            <a:avLst/>
                            <a:gdLst>
                              <a:gd name="T0" fmla="*/ 182 w 182"/>
                              <a:gd name="T1" fmla="*/ 183 h 183"/>
                              <a:gd name="T2" fmla="*/ 0 w 182"/>
                              <a:gd name="T3" fmla="*/ 0 h 183"/>
                              <a:gd name="T4" fmla="*/ 91 w 182"/>
                              <a:gd name="T5" fmla="*/ 0 h 183"/>
                              <a:gd name="T6" fmla="*/ 91 w 182"/>
                              <a:gd name="T7" fmla="*/ 183 h 183"/>
                              <a:gd name="T8" fmla="*/ 0 w 182"/>
                              <a:gd name="T9" fmla="*/ 183 h 183"/>
                              <a:gd name="T10" fmla="*/ 182 w 182"/>
                              <a:gd name="T11" fmla="*/ 0 h 183"/>
                            </a:gdLst>
                            <a:ahLst/>
                            <a:cxnLst>
                              <a:cxn ang="0">
                                <a:pos x="T0" y="T1"/>
                              </a:cxn>
                              <a:cxn ang="0">
                                <a:pos x="T2" y="T3"/>
                              </a:cxn>
                              <a:cxn ang="0">
                                <a:pos x="T4" y="T5"/>
                              </a:cxn>
                              <a:cxn ang="0">
                                <a:pos x="T6" y="T7"/>
                              </a:cxn>
                              <a:cxn ang="0">
                                <a:pos x="T8" y="T9"/>
                              </a:cxn>
                              <a:cxn ang="0">
                                <a:pos x="T10" y="T11"/>
                              </a:cxn>
                            </a:cxnLst>
                            <a:rect l="0" t="0" r="r" b="b"/>
                            <a:pathLst>
                              <a:path w="182" h="183">
                                <a:moveTo>
                                  <a:pt x="182" y="183"/>
                                </a:moveTo>
                                <a:lnTo>
                                  <a:pt x="0" y="0"/>
                                </a:lnTo>
                                <a:moveTo>
                                  <a:pt x="91" y="0"/>
                                </a:moveTo>
                                <a:lnTo>
                                  <a:pt x="91" y="183"/>
                                </a:lnTo>
                                <a:moveTo>
                                  <a:pt x="0" y="183"/>
                                </a:moveTo>
                                <a:lnTo>
                                  <a:pt x="182" y="0"/>
                                </a:lnTo>
                              </a:path>
                            </a:pathLst>
                          </a:custGeom>
                          <a:noFill/>
                          <a:ln w="12065" cap="flat">
                            <a:solidFill>
                              <a:srgbClr val="E46C0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96"/>
                        <wps:cNvSpPr>
                          <a:spLocks noEditPoints="1"/>
                        </wps:cNvSpPr>
                        <wps:spPr bwMode="auto">
                          <a:xfrm>
                            <a:off x="4218940" y="1659255"/>
                            <a:ext cx="116205" cy="116205"/>
                          </a:xfrm>
                          <a:custGeom>
                            <a:avLst/>
                            <a:gdLst>
                              <a:gd name="T0" fmla="*/ 183 w 183"/>
                              <a:gd name="T1" fmla="*/ 183 h 183"/>
                              <a:gd name="T2" fmla="*/ 0 w 183"/>
                              <a:gd name="T3" fmla="*/ 0 h 183"/>
                              <a:gd name="T4" fmla="*/ 92 w 183"/>
                              <a:gd name="T5" fmla="*/ 0 h 183"/>
                              <a:gd name="T6" fmla="*/ 92 w 183"/>
                              <a:gd name="T7" fmla="*/ 183 h 183"/>
                              <a:gd name="T8" fmla="*/ 0 w 183"/>
                              <a:gd name="T9" fmla="*/ 183 h 183"/>
                              <a:gd name="T10" fmla="*/ 183 w 183"/>
                              <a:gd name="T11" fmla="*/ 0 h 183"/>
                            </a:gdLst>
                            <a:ahLst/>
                            <a:cxnLst>
                              <a:cxn ang="0">
                                <a:pos x="T0" y="T1"/>
                              </a:cxn>
                              <a:cxn ang="0">
                                <a:pos x="T2" y="T3"/>
                              </a:cxn>
                              <a:cxn ang="0">
                                <a:pos x="T4" y="T5"/>
                              </a:cxn>
                              <a:cxn ang="0">
                                <a:pos x="T6" y="T7"/>
                              </a:cxn>
                              <a:cxn ang="0">
                                <a:pos x="T8" y="T9"/>
                              </a:cxn>
                              <a:cxn ang="0">
                                <a:pos x="T10" y="T11"/>
                              </a:cxn>
                            </a:cxnLst>
                            <a:rect l="0" t="0" r="r" b="b"/>
                            <a:pathLst>
                              <a:path w="183" h="183">
                                <a:moveTo>
                                  <a:pt x="183" y="183"/>
                                </a:moveTo>
                                <a:lnTo>
                                  <a:pt x="0" y="0"/>
                                </a:lnTo>
                                <a:moveTo>
                                  <a:pt x="92" y="0"/>
                                </a:moveTo>
                                <a:lnTo>
                                  <a:pt x="92" y="183"/>
                                </a:lnTo>
                                <a:moveTo>
                                  <a:pt x="0" y="183"/>
                                </a:moveTo>
                                <a:lnTo>
                                  <a:pt x="183" y="0"/>
                                </a:lnTo>
                              </a:path>
                            </a:pathLst>
                          </a:custGeom>
                          <a:noFill/>
                          <a:ln w="12065" cap="flat">
                            <a:solidFill>
                              <a:srgbClr val="E46C0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97"/>
                        <wps:cNvSpPr>
                          <a:spLocks noEditPoints="1"/>
                        </wps:cNvSpPr>
                        <wps:spPr bwMode="auto">
                          <a:xfrm>
                            <a:off x="4648835" y="1767840"/>
                            <a:ext cx="116205" cy="115570"/>
                          </a:xfrm>
                          <a:custGeom>
                            <a:avLst/>
                            <a:gdLst>
                              <a:gd name="T0" fmla="*/ 183 w 183"/>
                              <a:gd name="T1" fmla="*/ 182 h 182"/>
                              <a:gd name="T2" fmla="*/ 0 w 183"/>
                              <a:gd name="T3" fmla="*/ 0 h 182"/>
                              <a:gd name="T4" fmla="*/ 91 w 183"/>
                              <a:gd name="T5" fmla="*/ 0 h 182"/>
                              <a:gd name="T6" fmla="*/ 91 w 183"/>
                              <a:gd name="T7" fmla="*/ 182 h 182"/>
                              <a:gd name="T8" fmla="*/ 0 w 183"/>
                              <a:gd name="T9" fmla="*/ 182 h 182"/>
                              <a:gd name="T10" fmla="*/ 183 w 183"/>
                              <a:gd name="T11" fmla="*/ 0 h 182"/>
                            </a:gdLst>
                            <a:ahLst/>
                            <a:cxnLst>
                              <a:cxn ang="0">
                                <a:pos x="T0" y="T1"/>
                              </a:cxn>
                              <a:cxn ang="0">
                                <a:pos x="T2" y="T3"/>
                              </a:cxn>
                              <a:cxn ang="0">
                                <a:pos x="T4" y="T5"/>
                              </a:cxn>
                              <a:cxn ang="0">
                                <a:pos x="T6" y="T7"/>
                              </a:cxn>
                              <a:cxn ang="0">
                                <a:pos x="T8" y="T9"/>
                              </a:cxn>
                              <a:cxn ang="0">
                                <a:pos x="T10" y="T11"/>
                              </a:cxn>
                            </a:cxnLst>
                            <a:rect l="0" t="0" r="r" b="b"/>
                            <a:pathLst>
                              <a:path w="183" h="182">
                                <a:moveTo>
                                  <a:pt x="183" y="182"/>
                                </a:moveTo>
                                <a:lnTo>
                                  <a:pt x="0" y="0"/>
                                </a:lnTo>
                                <a:moveTo>
                                  <a:pt x="91" y="0"/>
                                </a:moveTo>
                                <a:lnTo>
                                  <a:pt x="91" y="182"/>
                                </a:lnTo>
                                <a:moveTo>
                                  <a:pt x="0" y="182"/>
                                </a:moveTo>
                                <a:lnTo>
                                  <a:pt x="183" y="0"/>
                                </a:lnTo>
                              </a:path>
                            </a:pathLst>
                          </a:custGeom>
                          <a:noFill/>
                          <a:ln w="12065" cap="flat">
                            <a:solidFill>
                              <a:srgbClr val="E46C0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98"/>
                        <wps:cNvSpPr>
                          <a:spLocks noChangeArrowheads="1"/>
                        </wps:cNvSpPr>
                        <wps:spPr bwMode="auto">
                          <a:xfrm>
                            <a:off x="775335" y="2359025"/>
                            <a:ext cx="17716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0.0</w:t>
                              </w:r>
                            </w:p>
                          </w:txbxContent>
                        </wps:txbx>
                        <wps:bodyPr rot="0" vert="horz" wrap="none" lIns="0" tIns="0" rIns="0" bIns="0" anchor="t" anchorCtr="0">
                          <a:spAutoFit/>
                        </wps:bodyPr>
                      </wps:wsp>
                      <wps:wsp>
                        <wps:cNvPr id="105" name="Rectangle 99"/>
                        <wps:cNvSpPr>
                          <a:spLocks noChangeArrowheads="1"/>
                        </wps:cNvSpPr>
                        <wps:spPr bwMode="auto">
                          <a:xfrm>
                            <a:off x="634365" y="2011045"/>
                            <a:ext cx="318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200.0</w:t>
                              </w:r>
                            </w:p>
                          </w:txbxContent>
                        </wps:txbx>
                        <wps:bodyPr rot="0" vert="horz" wrap="none" lIns="0" tIns="0" rIns="0" bIns="0" anchor="t" anchorCtr="0">
                          <a:spAutoFit/>
                        </wps:bodyPr>
                      </wps:wsp>
                      <wps:wsp>
                        <wps:cNvPr id="106" name="Rectangle 100"/>
                        <wps:cNvSpPr>
                          <a:spLocks noChangeArrowheads="1"/>
                        </wps:cNvSpPr>
                        <wps:spPr bwMode="auto">
                          <a:xfrm>
                            <a:off x="634365" y="1661160"/>
                            <a:ext cx="318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400.0</w:t>
                              </w:r>
                            </w:p>
                          </w:txbxContent>
                        </wps:txbx>
                        <wps:bodyPr rot="0" vert="horz" wrap="none" lIns="0" tIns="0" rIns="0" bIns="0" anchor="t" anchorCtr="0">
                          <a:spAutoFit/>
                        </wps:bodyPr>
                      </wps:wsp>
                      <wps:wsp>
                        <wps:cNvPr id="107" name="Rectangle 101"/>
                        <wps:cNvSpPr>
                          <a:spLocks noChangeArrowheads="1"/>
                        </wps:cNvSpPr>
                        <wps:spPr bwMode="auto">
                          <a:xfrm>
                            <a:off x="634365" y="1313180"/>
                            <a:ext cx="318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600.0</w:t>
                              </w:r>
                            </w:p>
                          </w:txbxContent>
                        </wps:txbx>
                        <wps:bodyPr rot="0" vert="horz" wrap="none" lIns="0" tIns="0" rIns="0" bIns="0" anchor="t" anchorCtr="0">
                          <a:spAutoFit/>
                        </wps:bodyPr>
                      </wps:wsp>
                      <wps:wsp>
                        <wps:cNvPr id="108" name="Rectangle 102"/>
                        <wps:cNvSpPr>
                          <a:spLocks noChangeArrowheads="1"/>
                        </wps:cNvSpPr>
                        <wps:spPr bwMode="auto">
                          <a:xfrm>
                            <a:off x="634365" y="963295"/>
                            <a:ext cx="318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800.0</w:t>
                              </w:r>
                            </w:p>
                          </w:txbxContent>
                        </wps:txbx>
                        <wps:bodyPr rot="0" vert="horz" wrap="none" lIns="0" tIns="0" rIns="0" bIns="0" anchor="t" anchorCtr="0">
                          <a:spAutoFit/>
                        </wps:bodyPr>
                      </wps:wsp>
                      <wps:wsp>
                        <wps:cNvPr id="109" name="Rectangle 103"/>
                        <wps:cNvSpPr>
                          <a:spLocks noChangeArrowheads="1"/>
                        </wps:cNvSpPr>
                        <wps:spPr bwMode="auto">
                          <a:xfrm>
                            <a:off x="528320" y="615315"/>
                            <a:ext cx="4241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1 000.0</w:t>
                              </w:r>
                            </w:p>
                          </w:txbxContent>
                        </wps:txbx>
                        <wps:bodyPr rot="0" vert="horz" wrap="none" lIns="0" tIns="0" rIns="0" bIns="0" anchor="t" anchorCtr="0">
                          <a:spAutoFit/>
                        </wps:bodyPr>
                      </wps:wsp>
                      <wps:wsp>
                        <wps:cNvPr id="110" name="Rectangle 104"/>
                        <wps:cNvSpPr>
                          <a:spLocks noChangeArrowheads="1"/>
                        </wps:cNvSpPr>
                        <wps:spPr bwMode="auto">
                          <a:xfrm>
                            <a:off x="528320" y="265430"/>
                            <a:ext cx="4241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1 200.0</w:t>
                              </w:r>
                            </w:p>
                          </w:txbxContent>
                        </wps:txbx>
                        <wps:bodyPr rot="0" vert="horz" wrap="none" lIns="0" tIns="0" rIns="0" bIns="0" anchor="t" anchorCtr="0">
                          <a:spAutoFit/>
                        </wps:bodyPr>
                      </wps:wsp>
                      <wps:wsp>
                        <wps:cNvPr id="111" name="Rectangle 105"/>
                        <wps:cNvSpPr>
                          <a:spLocks noChangeArrowheads="1"/>
                        </wps:cNvSpPr>
                        <wps:spPr bwMode="auto">
                          <a:xfrm>
                            <a:off x="1190625" y="2510155"/>
                            <a:ext cx="1695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Q1</w:t>
                              </w:r>
                            </w:p>
                          </w:txbxContent>
                        </wps:txbx>
                        <wps:bodyPr rot="0" vert="horz" wrap="none" lIns="0" tIns="0" rIns="0" bIns="0" anchor="t" anchorCtr="0">
                          <a:spAutoFit/>
                        </wps:bodyPr>
                      </wps:wsp>
                      <wps:wsp>
                        <wps:cNvPr id="112" name="Rectangle 106"/>
                        <wps:cNvSpPr>
                          <a:spLocks noChangeArrowheads="1"/>
                        </wps:cNvSpPr>
                        <wps:spPr bwMode="auto">
                          <a:xfrm>
                            <a:off x="1134745" y="2656840"/>
                            <a:ext cx="2825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2015</w:t>
                              </w:r>
                            </w:p>
                          </w:txbxContent>
                        </wps:txbx>
                        <wps:bodyPr rot="0" vert="horz" wrap="none" lIns="0" tIns="0" rIns="0" bIns="0" anchor="t" anchorCtr="0">
                          <a:spAutoFit/>
                        </wps:bodyPr>
                      </wps:wsp>
                      <wps:wsp>
                        <wps:cNvPr id="113" name="Rectangle 107"/>
                        <wps:cNvSpPr>
                          <a:spLocks noChangeArrowheads="1"/>
                        </wps:cNvSpPr>
                        <wps:spPr bwMode="auto">
                          <a:xfrm>
                            <a:off x="1619885" y="2510155"/>
                            <a:ext cx="1695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Q2</w:t>
                              </w:r>
                            </w:p>
                          </w:txbxContent>
                        </wps:txbx>
                        <wps:bodyPr rot="0" vert="horz" wrap="none" lIns="0" tIns="0" rIns="0" bIns="0" anchor="t" anchorCtr="0">
                          <a:spAutoFit/>
                        </wps:bodyPr>
                      </wps:wsp>
                      <wps:wsp>
                        <wps:cNvPr id="114" name="Rectangle 108"/>
                        <wps:cNvSpPr>
                          <a:spLocks noChangeArrowheads="1"/>
                        </wps:cNvSpPr>
                        <wps:spPr bwMode="auto">
                          <a:xfrm>
                            <a:off x="1563370" y="2656840"/>
                            <a:ext cx="2825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2015</w:t>
                              </w:r>
                            </w:p>
                          </w:txbxContent>
                        </wps:txbx>
                        <wps:bodyPr rot="0" vert="horz" wrap="none" lIns="0" tIns="0" rIns="0" bIns="0" anchor="t" anchorCtr="0">
                          <a:spAutoFit/>
                        </wps:bodyPr>
                      </wps:wsp>
                      <wps:wsp>
                        <wps:cNvPr id="115" name="Rectangle 109"/>
                        <wps:cNvSpPr>
                          <a:spLocks noChangeArrowheads="1"/>
                        </wps:cNvSpPr>
                        <wps:spPr bwMode="auto">
                          <a:xfrm>
                            <a:off x="2049145" y="2510155"/>
                            <a:ext cx="1695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Q3</w:t>
                              </w:r>
                            </w:p>
                          </w:txbxContent>
                        </wps:txbx>
                        <wps:bodyPr rot="0" vert="horz" wrap="none" lIns="0" tIns="0" rIns="0" bIns="0" anchor="t" anchorCtr="0">
                          <a:spAutoFit/>
                        </wps:bodyPr>
                      </wps:wsp>
                      <wps:wsp>
                        <wps:cNvPr id="116" name="Rectangle 110"/>
                        <wps:cNvSpPr>
                          <a:spLocks noChangeArrowheads="1"/>
                        </wps:cNvSpPr>
                        <wps:spPr bwMode="auto">
                          <a:xfrm>
                            <a:off x="1992630" y="2656840"/>
                            <a:ext cx="2825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2015</w:t>
                              </w:r>
                            </w:p>
                          </w:txbxContent>
                        </wps:txbx>
                        <wps:bodyPr rot="0" vert="horz" wrap="none" lIns="0" tIns="0" rIns="0" bIns="0" anchor="t" anchorCtr="0">
                          <a:spAutoFit/>
                        </wps:bodyPr>
                      </wps:wsp>
                      <wps:wsp>
                        <wps:cNvPr id="117" name="Rectangle 111"/>
                        <wps:cNvSpPr>
                          <a:spLocks noChangeArrowheads="1"/>
                        </wps:cNvSpPr>
                        <wps:spPr bwMode="auto">
                          <a:xfrm>
                            <a:off x="2477770" y="2510155"/>
                            <a:ext cx="1695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Q4</w:t>
                              </w:r>
                            </w:p>
                          </w:txbxContent>
                        </wps:txbx>
                        <wps:bodyPr rot="0" vert="horz" wrap="none" lIns="0" tIns="0" rIns="0" bIns="0" anchor="t" anchorCtr="0">
                          <a:spAutoFit/>
                        </wps:bodyPr>
                      </wps:wsp>
                      <wps:wsp>
                        <wps:cNvPr id="118" name="Rectangle 112"/>
                        <wps:cNvSpPr>
                          <a:spLocks noChangeArrowheads="1"/>
                        </wps:cNvSpPr>
                        <wps:spPr bwMode="auto">
                          <a:xfrm>
                            <a:off x="2421890" y="2656840"/>
                            <a:ext cx="2825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2015</w:t>
                              </w:r>
                            </w:p>
                          </w:txbxContent>
                        </wps:txbx>
                        <wps:bodyPr rot="0" vert="horz" wrap="none" lIns="0" tIns="0" rIns="0" bIns="0" anchor="t" anchorCtr="0">
                          <a:spAutoFit/>
                        </wps:bodyPr>
                      </wps:wsp>
                      <wps:wsp>
                        <wps:cNvPr id="119" name="Rectangle 113"/>
                        <wps:cNvSpPr>
                          <a:spLocks noChangeArrowheads="1"/>
                        </wps:cNvSpPr>
                        <wps:spPr bwMode="auto">
                          <a:xfrm>
                            <a:off x="2907030" y="2510155"/>
                            <a:ext cx="1695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Q1</w:t>
                              </w:r>
                            </w:p>
                          </w:txbxContent>
                        </wps:txbx>
                        <wps:bodyPr rot="0" vert="horz" wrap="none" lIns="0" tIns="0" rIns="0" bIns="0" anchor="t" anchorCtr="0">
                          <a:spAutoFit/>
                        </wps:bodyPr>
                      </wps:wsp>
                      <wps:wsp>
                        <wps:cNvPr id="120" name="Rectangle 114"/>
                        <wps:cNvSpPr>
                          <a:spLocks noChangeArrowheads="1"/>
                        </wps:cNvSpPr>
                        <wps:spPr bwMode="auto">
                          <a:xfrm>
                            <a:off x="2850515" y="2656840"/>
                            <a:ext cx="2825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2016</w:t>
                              </w:r>
                            </w:p>
                          </w:txbxContent>
                        </wps:txbx>
                        <wps:bodyPr rot="0" vert="horz" wrap="none" lIns="0" tIns="0" rIns="0" bIns="0" anchor="t" anchorCtr="0">
                          <a:spAutoFit/>
                        </wps:bodyPr>
                      </wps:wsp>
                      <wps:wsp>
                        <wps:cNvPr id="121" name="Rectangle 115"/>
                        <wps:cNvSpPr>
                          <a:spLocks noChangeArrowheads="1"/>
                        </wps:cNvSpPr>
                        <wps:spPr bwMode="auto">
                          <a:xfrm>
                            <a:off x="3336290" y="2510155"/>
                            <a:ext cx="1695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Q2</w:t>
                              </w:r>
                            </w:p>
                          </w:txbxContent>
                        </wps:txbx>
                        <wps:bodyPr rot="0" vert="horz" wrap="none" lIns="0" tIns="0" rIns="0" bIns="0" anchor="t" anchorCtr="0">
                          <a:spAutoFit/>
                        </wps:bodyPr>
                      </wps:wsp>
                      <wps:wsp>
                        <wps:cNvPr id="122" name="Rectangle 116"/>
                        <wps:cNvSpPr>
                          <a:spLocks noChangeArrowheads="1"/>
                        </wps:cNvSpPr>
                        <wps:spPr bwMode="auto">
                          <a:xfrm>
                            <a:off x="3279775" y="2656840"/>
                            <a:ext cx="2825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2016</w:t>
                              </w:r>
                            </w:p>
                          </w:txbxContent>
                        </wps:txbx>
                        <wps:bodyPr rot="0" vert="horz" wrap="none" lIns="0" tIns="0" rIns="0" bIns="0" anchor="t" anchorCtr="0">
                          <a:spAutoFit/>
                        </wps:bodyPr>
                      </wps:wsp>
                      <wps:wsp>
                        <wps:cNvPr id="123" name="Rectangle 117"/>
                        <wps:cNvSpPr>
                          <a:spLocks noChangeArrowheads="1"/>
                        </wps:cNvSpPr>
                        <wps:spPr bwMode="auto">
                          <a:xfrm>
                            <a:off x="3764915" y="2510155"/>
                            <a:ext cx="1695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Q3</w:t>
                              </w:r>
                            </w:p>
                          </w:txbxContent>
                        </wps:txbx>
                        <wps:bodyPr rot="0" vert="horz" wrap="none" lIns="0" tIns="0" rIns="0" bIns="0" anchor="t" anchorCtr="0">
                          <a:spAutoFit/>
                        </wps:bodyPr>
                      </wps:wsp>
                      <wps:wsp>
                        <wps:cNvPr id="124" name="Rectangle 118"/>
                        <wps:cNvSpPr>
                          <a:spLocks noChangeArrowheads="1"/>
                        </wps:cNvSpPr>
                        <wps:spPr bwMode="auto">
                          <a:xfrm>
                            <a:off x="3709035" y="2656840"/>
                            <a:ext cx="2825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2016</w:t>
                              </w:r>
                            </w:p>
                          </w:txbxContent>
                        </wps:txbx>
                        <wps:bodyPr rot="0" vert="horz" wrap="none" lIns="0" tIns="0" rIns="0" bIns="0" anchor="t" anchorCtr="0">
                          <a:spAutoFit/>
                        </wps:bodyPr>
                      </wps:wsp>
                      <wps:wsp>
                        <wps:cNvPr id="125" name="Rectangle 119"/>
                        <wps:cNvSpPr>
                          <a:spLocks noChangeArrowheads="1"/>
                        </wps:cNvSpPr>
                        <wps:spPr bwMode="auto">
                          <a:xfrm>
                            <a:off x="4194175" y="2510155"/>
                            <a:ext cx="1695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Q4</w:t>
                              </w:r>
                            </w:p>
                          </w:txbxContent>
                        </wps:txbx>
                        <wps:bodyPr rot="0" vert="horz" wrap="none" lIns="0" tIns="0" rIns="0" bIns="0" anchor="t" anchorCtr="0">
                          <a:spAutoFit/>
                        </wps:bodyPr>
                      </wps:wsp>
                      <wps:wsp>
                        <wps:cNvPr id="126" name="Rectangle 120"/>
                        <wps:cNvSpPr>
                          <a:spLocks noChangeArrowheads="1"/>
                        </wps:cNvSpPr>
                        <wps:spPr bwMode="auto">
                          <a:xfrm>
                            <a:off x="4137660" y="2656840"/>
                            <a:ext cx="2825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2016</w:t>
                              </w:r>
                            </w:p>
                          </w:txbxContent>
                        </wps:txbx>
                        <wps:bodyPr rot="0" vert="horz" wrap="none" lIns="0" tIns="0" rIns="0" bIns="0" anchor="t" anchorCtr="0">
                          <a:spAutoFit/>
                        </wps:bodyPr>
                      </wps:wsp>
                      <wps:wsp>
                        <wps:cNvPr id="127" name="Rectangle 121"/>
                        <wps:cNvSpPr>
                          <a:spLocks noChangeArrowheads="1"/>
                        </wps:cNvSpPr>
                        <wps:spPr bwMode="auto">
                          <a:xfrm>
                            <a:off x="4623435" y="2510155"/>
                            <a:ext cx="1695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Q1</w:t>
                              </w:r>
                            </w:p>
                          </w:txbxContent>
                        </wps:txbx>
                        <wps:bodyPr rot="0" vert="horz" wrap="none" lIns="0" tIns="0" rIns="0" bIns="0" anchor="t" anchorCtr="0">
                          <a:spAutoFit/>
                        </wps:bodyPr>
                      </wps:wsp>
                      <wps:wsp>
                        <wps:cNvPr id="128" name="Rectangle 122"/>
                        <wps:cNvSpPr>
                          <a:spLocks noChangeArrowheads="1"/>
                        </wps:cNvSpPr>
                        <wps:spPr bwMode="auto">
                          <a:xfrm>
                            <a:off x="4566920" y="2656840"/>
                            <a:ext cx="2825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0"/>
                                  <w:szCs w:val="20"/>
                                </w:rPr>
                                <w:t>2017</w:t>
                              </w:r>
                            </w:p>
                          </w:txbxContent>
                        </wps:txbx>
                        <wps:bodyPr rot="0" vert="horz" wrap="none" lIns="0" tIns="0" rIns="0" bIns="0" anchor="t" anchorCtr="0">
                          <a:spAutoFit/>
                        </wps:bodyPr>
                      </wps:wsp>
                      <wps:wsp>
                        <wps:cNvPr id="129" name="Rectangle 123"/>
                        <wps:cNvSpPr>
                          <a:spLocks noChangeArrowheads="1"/>
                        </wps:cNvSpPr>
                        <wps:spPr bwMode="auto">
                          <a:xfrm>
                            <a:off x="156210" y="1378585"/>
                            <a:ext cx="4572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2"/>
                                  <w:szCs w:val="2"/>
                                </w:rPr>
                                <w:t>R billion</w:t>
                              </w:r>
                            </w:p>
                          </w:txbxContent>
                        </wps:txbx>
                        <wps:bodyPr rot="0" vert="horz" wrap="none" lIns="0" tIns="0" rIns="0" bIns="0" anchor="t" anchorCtr="0">
                          <a:spAutoFit/>
                        </wps:bodyPr>
                      </wps:wsp>
                      <wps:wsp>
                        <wps:cNvPr id="130" name="Freeform 124"/>
                        <wps:cNvSpPr>
                          <a:spLocks/>
                        </wps:cNvSpPr>
                        <wps:spPr bwMode="auto">
                          <a:xfrm>
                            <a:off x="401320" y="2948940"/>
                            <a:ext cx="271780" cy="27305"/>
                          </a:xfrm>
                          <a:custGeom>
                            <a:avLst/>
                            <a:gdLst>
                              <a:gd name="T0" fmla="*/ 144 w 2848"/>
                              <a:gd name="T1" fmla="*/ 0 h 288"/>
                              <a:gd name="T2" fmla="*/ 2704 w 2848"/>
                              <a:gd name="T3" fmla="*/ 0 h 288"/>
                              <a:gd name="T4" fmla="*/ 2848 w 2848"/>
                              <a:gd name="T5" fmla="*/ 144 h 288"/>
                              <a:gd name="T6" fmla="*/ 2704 w 2848"/>
                              <a:gd name="T7" fmla="*/ 288 h 288"/>
                              <a:gd name="T8" fmla="*/ 144 w 2848"/>
                              <a:gd name="T9" fmla="*/ 288 h 288"/>
                              <a:gd name="T10" fmla="*/ 0 w 2848"/>
                              <a:gd name="T11" fmla="*/ 144 h 288"/>
                              <a:gd name="T12" fmla="*/ 144 w 2848"/>
                              <a:gd name="T13" fmla="*/ 0 h 288"/>
                            </a:gdLst>
                            <a:ahLst/>
                            <a:cxnLst>
                              <a:cxn ang="0">
                                <a:pos x="T0" y="T1"/>
                              </a:cxn>
                              <a:cxn ang="0">
                                <a:pos x="T2" y="T3"/>
                              </a:cxn>
                              <a:cxn ang="0">
                                <a:pos x="T4" y="T5"/>
                              </a:cxn>
                              <a:cxn ang="0">
                                <a:pos x="T6" y="T7"/>
                              </a:cxn>
                              <a:cxn ang="0">
                                <a:pos x="T8" y="T9"/>
                              </a:cxn>
                              <a:cxn ang="0">
                                <a:pos x="T10" y="T11"/>
                              </a:cxn>
                              <a:cxn ang="0">
                                <a:pos x="T12" y="T13"/>
                              </a:cxn>
                            </a:cxnLst>
                            <a:rect l="0" t="0" r="r" b="b"/>
                            <a:pathLst>
                              <a:path w="2848" h="288">
                                <a:moveTo>
                                  <a:pt x="144" y="0"/>
                                </a:moveTo>
                                <a:lnTo>
                                  <a:pt x="2704" y="0"/>
                                </a:lnTo>
                                <a:cubicBezTo>
                                  <a:pt x="2784" y="0"/>
                                  <a:pt x="2848" y="65"/>
                                  <a:pt x="2848" y="144"/>
                                </a:cubicBezTo>
                                <a:cubicBezTo>
                                  <a:pt x="2848" y="224"/>
                                  <a:pt x="2784" y="288"/>
                                  <a:pt x="2704" y="288"/>
                                </a:cubicBezTo>
                                <a:lnTo>
                                  <a:pt x="144" y="288"/>
                                </a:lnTo>
                                <a:cubicBezTo>
                                  <a:pt x="65" y="288"/>
                                  <a:pt x="0" y="224"/>
                                  <a:pt x="0" y="144"/>
                                </a:cubicBezTo>
                                <a:cubicBezTo>
                                  <a:pt x="0" y="65"/>
                                  <a:pt x="65" y="0"/>
                                  <a:pt x="144" y="0"/>
                                </a:cubicBezTo>
                                <a:close/>
                              </a:path>
                            </a:pathLst>
                          </a:custGeom>
                          <a:solidFill>
                            <a:srgbClr val="005D28"/>
                          </a:solidFill>
                          <a:ln w="1270" cap="flat">
                            <a:solidFill>
                              <a:srgbClr val="005D28"/>
                            </a:solidFill>
                            <a:prstDash val="solid"/>
                            <a:bevel/>
                            <a:headEnd/>
                            <a:tailEnd/>
                          </a:ln>
                        </wps:spPr>
                        <wps:bodyPr rot="0" vert="horz" wrap="square" lIns="91440" tIns="45720" rIns="91440" bIns="45720" anchor="t" anchorCtr="0" upright="1">
                          <a:noAutofit/>
                        </wps:bodyPr>
                      </wps:wsp>
                      <wps:wsp>
                        <wps:cNvPr id="131" name="Freeform 125"/>
                        <wps:cNvSpPr>
                          <a:spLocks/>
                        </wps:cNvSpPr>
                        <wps:spPr bwMode="auto">
                          <a:xfrm>
                            <a:off x="511175" y="2936875"/>
                            <a:ext cx="50800" cy="50800"/>
                          </a:xfrm>
                          <a:custGeom>
                            <a:avLst/>
                            <a:gdLst>
                              <a:gd name="T0" fmla="*/ 40 w 80"/>
                              <a:gd name="T1" fmla="*/ 0 h 80"/>
                              <a:gd name="T2" fmla="*/ 80 w 80"/>
                              <a:gd name="T3" fmla="*/ 40 h 80"/>
                              <a:gd name="T4" fmla="*/ 40 w 80"/>
                              <a:gd name="T5" fmla="*/ 80 h 80"/>
                              <a:gd name="T6" fmla="*/ 0 w 80"/>
                              <a:gd name="T7" fmla="*/ 40 h 80"/>
                              <a:gd name="T8" fmla="*/ 40 w 80"/>
                              <a:gd name="T9" fmla="*/ 0 h 80"/>
                            </a:gdLst>
                            <a:ahLst/>
                            <a:cxnLst>
                              <a:cxn ang="0">
                                <a:pos x="T0" y="T1"/>
                              </a:cxn>
                              <a:cxn ang="0">
                                <a:pos x="T2" y="T3"/>
                              </a:cxn>
                              <a:cxn ang="0">
                                <a:pos x="T4" y="T5"/>
                              </a:cxn>
                              <a:cxn ang="0">
                                <a:pos x="T6" y="T7"/>
                              </a:cxn>
                              <a:cxn ang="0">
                                <a:pos x="T8" y="T9"/>
                              </a:cxn>
                            </a:cxnLst>
                            <a:rect l="0" t="0" r="r" b="b"/>
                            <a:pathLst>
                              <a:path w="80" h="80">
                                <a:moveTo>
                                  <a:pt x="40" y="0"/>
                                </a:moveTo>
                                <a:lnTo>
                                  <a:pt x="80" y="40"/>
                                </a:lnTo>
                                <a:lnTo>
                                  <a:pt x="40" y="80"/>
                                </a:lnTo>
                                <a:lnTo>
                                  <a:pt x="0" y="40"/>
                                </a:lnTo>
                                <a:lnTo>
                                  <a:pt x="40" y="0"/>
                                </a:lnTo>
                                <a:close/>
                              </a:path>
                            </a:pathLst>
                          </a:custGeom>
                          <a:solidFill>
                            <a:srgbClr val="3B4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6"/>
                        <wps:cNvSpPr>
                          <a:spLocks noEditPoints="1"/>
                        </wps:cNvSpPr>
                        <wps:spPr bwMode="auto">
                          <a:xfrm>
                            <a:off x="506095" y="2931795"/>
                            <a:ext cx="60960" cy="60960"/>
                          </a:xfrm>
                          <a:custGeom>
                            <a:avLst/>
                            <a:gdLst>
                              <a:gd name="T0" fmla="*/ 286 w 639"/>
                              <a:gd name="T1" fmla="*/ 19 h 639"/>
                              <a:gd name="T2" fmla="*/ 353 w 639"/>
                              <a:gd name="T3" fmla="*/ 19 h 639"/>
                              <a:gd name="T4" fmla="*/ 620 w 639"/>
                              <a:gd name="T5" fmla="*/ 285 h 639"/>
                              <a:gd name="T6" fmla="*/ 620 w 639"/>
                              <a:gd name="T7" fmla="*/ 353 h 639"/>
                              <a:gd name="T8" fmla="*/ 353 w 639"/>
                              <a:gd name="T9" fmla="*/ 620 h 639"/>
                              <a:gd name="T10" fmla="*/ 286 w 639"/>
                              <a:gd name="T11" fmla="*/ 620 h 639"/>
                              <a:gd name="T12" fmla="*/ 19 w 639"/>
                              <a:gd name="T13" fmla="*/ 353 h 639"/>
                              <a:gd name="T14" fmla="*/ 19 w 639"/>
                              <a:gd name="T15" fmla="*/ 285 h 639"/>
                              <a:gd name="T16" fmla="*/ 286 w 639"/>
                              <a:gd name="T17" fmla="*/ 19 h 639"/>
                              <a:gd name="T18" fmla="*/ 87 w 639"/>
                              <a:gd name="T19" fmla="*/ 353 h 639"/>
                              <a:gd name="T20" fmla="*/ 87 w 639"/>
                              <a:gd name="T21" fmla="*/ 285 h 639"/>
                              <a:gd name="T22" fmla="*/ 353 w 639"/>
                              <a:gd name="T23" fmla="*/ 552 h 639"/>
                              <a:gd name="T24" fmla="*/ 286 w 639"/>
                              <a:gd name="T25" fmla="*/ 552 h 639"/>
                              <a:gd name="T26" fmla="*/ 552 w 639"/>
                              <a:gd name="T27" fmla="*/ 285 h 639"/>
                              <a:gd name="T28" fmla="*/ 552 w 639"/>
                              <a:gd name="T29" fmla="*/ 353 h 639"/>
                              <a:gd name="T30" fmla="*/ 286 w 639"/>
                              <a:gd name="T31" fmla="*/ 87 h 639"/>
                              <a:gd name="T32" fmla="*/ 353 w 639"/>
                              <a:gd name="T33" fmla="*/ 87 h 639"/>
                              <a:gd name="T34" fmla="*/ 87 w 639"/>
                              <a:gd name="T35" fmla="*/ 353 h 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9" h="639">
                                <a:moveTo>
                                  <a:pt x="286" y="19"/>
                                </a:moveTo>
                                <a:cubicBezTo>
                                  <a:pt x="304" y="0"/>
                                  <a:pt x="335" y="0"/>
                                  <a:pt x="353" y="19"/>
                                </a:cubicBezTo>
                                <a:lnTo>
                                  <a:pt x="620" y="285"/>
                                </a:lnTo>
                                <a:cubicBezTo>
                                  <a:pt x="639" y="304"/>
                                  <a:pt x="639" y="335"/>
                                  <a:pt x="620" y="353"/>
                                </a:cubicBezTo>
                                <a:lnTo>
                                  <a:pt x="353" y="620"/>
                                </a:lnTo>
                                <a:cubicBezTo>
                                  <a:pt x="335" y="639"/>
                                  <a:pt x="304" y="639"/>
                                  <a:pt x="286" y="620"/>
                                </a:cubicBezTo>
                                <a:lnTo>
                                  <a:pt x="19" y="353"/>
                                </a:lnTo>
                                <a:cubicBezTo>
                                  <a:pt x="0" y="335"/>
                                  <a:pt x="0" y="304"/>
                                  <a:pt x="19" y="285"/>
                                </a:cubicBezTo>
                                <a:lnTo>
                                  <a:pt x="286" y="19"/>
                                </a:lnTo>
                                <a:close/>
                                <a:moveTo>
                                  <a:pt x="87" y="353"/>
                                </a:moveTo>
                                <a:lnTo>
                                  <a:pt x="87" y="285"/>
                                </a:lnTo>
                                <a:lnTo>
                                  <a:pt x="353" y="552"/>
                                </a:lnTo>
                                <a:lnTo>
                                  <a:pt x="286" y="552"/>
                                </a:lnTo>
                                <a:lnTo>
                                  <a:pt x="552" y="285"/>
                                </a:lnTo>
                                <a:lnTo>
                                  <a:pt x="552" y="353"/>
                                </a:lnTo>
                                <a:lnTo>
                                  <a:pt x="286" y="87"/>
                                </a:lnTo>
                                <a:lnTo>
                                  <a:pt x="353" y="87"/>
                                </a:lnTo>
                                <a:lnTo>
                                  <a:pt x="87" y="353"/>
                                </a:lnTo>
                                <a:close/>
                              </a:path>
                            </a:pathLst>
                          </a:custGeom>
                          <a:solidFill>
                            <a:srgbClr val="3B4A1E"/>
                          </a:solidFill>
                          <a:ln w="1270" cap="flat">
                            <a:solidFill>
                              <a:srgbClr val="3B4A1E"/>
                            </a:solidFill>
                            <a:prstDash val="solid"/>
                            <a:bevel/>
                            <a:headEnd/>
                            <a:tailEnd/>
                          </a:ln>
                        </wps:spPr>
                        <wps:bodyPr rot="0" vert="horz" wrap="square" lIns="91440" tIns="45720" rIns="91440" bIns="45720" anchor="t" anchorCtr="0" upright="1">
                          <a:noAutofit/>
                        </wps:bodyPr>
                      </wps:wsp>
                      <wps:wsp>
                        <wps:cNvPr id="133" name="Rectangle 127"/>
                        <wps:cNvSpPr>
                          <a:spLocks noChangeArrowheads="1"/>
                        </wps:cNvSpPr>
                        <wps:spPr bwMode="auto">
                          <a:xfrm>
                            <a:off x="685165" y="2901315"/>
                            <a:ext cx="198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16"/>
                                  <w:szCs w:val="16"/>
                                </w:rPr>
                                <w:t>Fuel</w:t>
                              </w:r>
                            </w:p>
                          </w:txbxContent>
                        </wps:txbx>
                        <wps:bodyPr rot="0" vert="horz" wrap="none" lIns="0" tIns="0" rIns="0" bIns="0" anchor="t" anchorCtr="0">
                          <a:spAutoFit/>
                        </wps:bodyPr>
                      </wps:wsp>
                      <wps:wsp>
                        <wps:cNvPr id="134" name="Freeform 128"/>
                        <wps:cNvSpPr>
                          <a:spLocks/>
                        </wps:cNvSpPr>
                        <wps:spPr bwMode="auto">
                          <a:xfrm>
                            <a:off x="983615" y="2948940"/>
                            <a:ext cx="271145" cy="27305"/>
                          </a:xfrm>
                          <a:custGeom>
                            <a:avLst/>
                            <a:gdLst>
                              <a:gd name="T0" fmla="*/ 144 w 2848"/>
                              <a:gd name="T1" fmla="*/ 0 h 288"/>
                              <a:gd name="T2" fmla="*/ 2704 w 2848"/>
                              <a:gd name="T3" fmla="*/ 0 h 288"/>
                              <a:gd name="T4" fmla="*/ 2848 w 2848"/>
                              <a:gd name="T5" fmla="*/ 144 h 288"/>
                              <a:gd name="T6" fmla="*/ 2704 w 2848"/>
                              <a:gd name="T7" fmla="*/ 288 h 288"/>
                              <a:gd name="T8" fmla="*/ 144 w 2848"/>
                              <a:gd name="T9" fmla="*/ 288 h 288"/>
                              <a:gd name="T10" fmla="*/ 0 w 2848"/>
                              <a:gd name="T11" fmla="*/ 144 h 288"/>
                              <a:gd name="T12" fmla="*/ 144 w 2848"/>
                              <a:gd name="T13" fmla="*/ 0 h 288"/>
                            </a:gdLst>
                            <a:ahLst/>
                            <a:cxnLst>
                              <a:cxn ang="0">
                                <a:pos x="T0" y="T1"/>
                              </a:cxn>
                              <a:cxn ang="0">
                                <a:pos x="T2" y="T3"/>
                              </a:cxn>
                              <a:cxn ang="0">
                                <a:pos x="T4" y="T5"/>
                              </a:cxn>
                              <a:cxn ang="0">
                                <a:pos x="T6" y="T7"/>
                              </a:cxn>
                              <a:cxn ang="0">
                                <a:pos x="T8" y="T9"/>
                              </a:cxn>
                              <a:cxn ang="0">
                                <a:pos x="T10" y="T11"/>
                              </a:cxn>
                              <a:cxn ang="0">
                                <a:pos x="T12" y="T13"/>
                              </a:cxn>
                            </a:cxnLst>
                            <a:rect l="0" t="0" r="r" b="b"/>
                            <a:pathLst>
                              <a:path w="2848" h="288">
                                <a:moveTo>
                                  <a:pt x="144" y="0"/>
                                </a:moveTo>
                                <a:lnTo>
                                  <a:pt x="2704" y="0"/>
                                </a:lnTo>
                                <a:cubicBezTo>
                                  <a:pt x="2784" y="0"/>
                                  <a:pt x="2848" y="65"/>
                                  <a:pt x="2848" y="144"/>
                                </a:cubicBezTo>
                                <a:cubicBezTo>
                                  <a:pt x="2848" y="224"/>
                                  <a:pt x="2784" y="288"/>
                                  <a:pt x="2704" y="288"/>
                                </a:cubicBezTo>
                                <a:lnTo>
                                  <a:pt x="144" y="288"/>
                                </a:lnTo>
                                <a:cubicBezTo>
                                  <a:pt x="65" y="288"/>
                                  <a:pt x="0" y="224"/>
                                  <a:pt x="0" y="144"/>
                                </a:cubicBezTo>
                                <a:cubicBezTo>
                                  <a:pt x="0" y="65"/>
                                  <a:pt x="65" y="0"/>
                                  <a:pt x="144" y="0"/>
                                </a:cubicBezTo>
                                <a:close/>
                              </a:path>
                            </a:pathLst>
                          </a:custGeom>
                          <a:solidFill>
                            <a:srgbClr val="825B32"/>
                          </a:solidFill>
                          <a:ln w="1270" cap="flat">
                            <a:solidFill>
                              <a:srgbClr val="825B32"/>
                            </a:solidFill>
                            <a:prstDash val="solid"/>
                            <a:bevel/>
                            <a:headEnd/>
                            <a:tailEnd/>
                          </a:ln>
                        </wps:spPr>
                        <wps:bodyPr rot="0" vert="horz" wrap="square" lIns="91440" tIns="45720" rIns="91440" bIns="45720" anchor="t" anchorCtr="0" upright="1">
                          <a:noAutofit/>
                        </wps:bodyPr>
                      </wps:wsp>
                      <wps:wsp>
                        <wps:cNvPr id="135" name="Rectangle 129"/>
                        <wps:cNvSpPr>
                          <a:spLocks noChangeArrowheads="1"/>
                        </wps:cNvSpPr>
                        <wps:spPr bwMode="auto">
                          <a:xfrm>
                            <a:off x="1094740" y="2936875"/>
                            <a:ext cx="50800" cy="50165"/>
                          </a:xfrm>
                          <a:prstGeom prst="rect">
                            <a:avLst/>
                          </a:prstGeom>
                          <a:solidFill>
                            <a:srgbClr val="FAB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Freeform 130"/>
                        <wps:cNvSpPr>
                          <a:spLocks noEditPoints="1"/>
                        </wps:cNvSpPr>
                        <wps:spPr bwMode="auto">
                          <a:xfrm>
                            <a:off x="1090295" y="2932430"/>
                            <a:ext cx="59690" cy="59055"/>
                          </a:xfrm>
                          <a:custGeom>
                            <a:avLst/>
                            <a:gdLst>
                              <a:gd name="T0" fmla="*/ 0 w 624"/>
                              <a:gd name="T1" fmla="*/ 48 h 624"/>
                              <a:gd name="T2" fmla="*/ 48 w 624"/>
                              <a:gd name="T3" fmla="*/ 0 h 624"/>
                              <a:gd name="T4" fmla="*/ 576 w 624"/>
                              <a:gd name="T5" fmla="*/ 0 h 624"/>
                              <a:gd name="T6" fmla="*/ 624 w 624"/>
                              <a:gd name="T7" fmla="*/ 48 h 624"/>
                              <a:gd name="T8" fmla="*/ 624 w 624"/>
                              <a:gd name="T9" fmla="*/ 576 h 624"/>
                              <a:gd name="T10" fmla="*/ 576 w 624"/>
                              <a:gd name="T11" fmla="*/ 624 h 624"/>
                              <a:gd name="T12" fmla="*/ 48 w 624"/>
                              <a:gd name="T13" fmla="*/ 624 h 624"/>
                              <a:gd name="T14" fmla="*/ 0 w 624"/>
                              <a:gd name="T15" fmla="*/ 576 h 624"/>
                              <a:gd name="T16" fmla="*/ 0 w 624"/>
                              <a:gd name="T17" fmla="*/ 48 h 624"/>
                              <a:gd name="T18" fmla="*/ 96 w 624"/>
                              <a:gd name="T19" fmla="*/ 576 h 624"/>
                              <a:gd name="T20" fmla="*/ 48 w 624"/>
                              <a:gd name="T21" fmla="*/ 528 h 624"/>
                              <a:gd name="T22" fmla="*/ 576 w 624"/>
                              <a:gd name="T23" fmla="*/ 528 h 624"/>
                              <a:gd name="T24" fmla="*/ 528 w 624"/>
                              <a:gd name="T25" fmla="*/ 576 h 624"/>
                              <a:gd name="T26" fmla="*/ 528 w 624"/>
                              <a:gd name="T27" fmla="*/ 48 h 624"/>
                              <a:gd name="T28" fmla="*/ 576 w 624"/>
                              <a:gd name="T29" fmla="*/ 96 h 624"/>
                              <a:gd name="T30" fmla="*/ 48 w 624"/>
                              <a:gd name="T31" fmla="*/ 96 h 624"/>
                              <a:gd name="T32" fmla="*/ 96 w 624"/>
                              <a:gd name="T33" fmla="*/ 48 h 624"/>
                              <a:gd name="T34" fmla="*/ 96 w 624"/>
                              <a:gd name="T35" fmla="*/ 576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24" h="624">
                                <a:moveTo>
                                  <a:pt x="0" y="48"/>
                                </a:moveTo>
                                <a:cubicBezTo>
                                  <a:pt x="0" y="22"/>
                                  <a:pt x="22" y="0"/>
                                  <a:pt x="48" y="0"/>
                                </a:cubicBezTo>
                                <a:lnTo>
                                  <a:pt x="576" y="0"/>
                                </a:lnTo>
                                <a:cubicBezTo>
                                  <a:pt x="603" y="0"/>
                                  <a:pt x="624" y="22"/>
                                  <a:pt x="624" y="48"/>
                                </a:cubicBezTo>
                                <a:lnTo>
                                  <a:pt x="624" y="576"/>
                                </a:lnTo>
                                <a:cubicBezTo>
                                  <a:pt x="624" y="603"/>
                                  <a:pt x="603" y="624"/>
                                  <a:pt x="576" y="624"/>
                                </a:cubicBezTo>
                                <a:lnTo>
                                  <a:pt x="48" y="624"/>
                                </a:lnTo>
                                <a:cubicBezTo>
                                  <a:pt x="22" y="624"/>
                                  <a:pt x="0" y="603"/>
                                  <a:pt x="0" y="576"/>
                                </a:cubicBezTo>
                                <a:lnTo>
                                  <a:pt x="0" y="48"/>
                                </a:lnTo>
                                <a:close/>
                                <a:moveTo>
                                  <a:pt x="96" y="576"/>
                                </a:moveTo>
                                <a:lnTo>
                                  <a:pt x="48" y="528"/>
                                </a:lnTo>
                                <a:lnTo>
                                  <a:pt x="576" y="528"/>
                                </a:lnTo>
                                <a:lnTo>
                                  <a:pt x="528" y="576"/>
                                </a:lnTo>
                                <a:lnTo>
                                  <a:pt x="528" y="48"/>
                                </a:lnTo>
                                <a:lnTo>
                                  <a:pt x="576" y="96"/>
                                </a:lnTo>
                                <a:lnTo>
                                  <a:pt x="48" y="96"/>
                                </a:lnTo>
                                <a:lnTo>
                                  <a:pt x="96" y="48"/>
                                </a:lnTo>
                                <a:lnTo>
                                  <a:pt x="96" y="576"/>
                                </a:lnTo>
                                <a:close/>
                              </a:path>
                            </a:pathLst>
                          </a:custGeom>
                          <a:solidFill>
                            <a:srgbClr val="FABE00"/>
                          </a:solidFill>
                          <a:ln w="1270" cap="flat">
                            <a:solidFill>
                              <a:srgbClr val="FABE00"/>
                            </a:solidFill>
                            <a:prstDash val="solid"/>
                            <a:bevel/>
                            <a:headEnd/>
                            <a:tailEnd/>
                          </a:ln>
                        </wps:spPr>
                        <wps:bodyPr rot="0" vert="horz" wrap="square" lIns="91440" tIns="45720" rIns="91440" bIns="45720" anchor="t" anchorCtr="0" upright="1">
                          <a:noAutofit/>
                        </wps:bodyPr>
                      </wps:wsp>
                      <wps:wsp>
                        <wps:cNvPr id="137" name="Rectangle 131"/>
                        <wps:cNvSpPr>
                          <a:spLocks noChangeArrowheads="1"/>
                        </wps:cNvSpPr>
                        <wps:spPr bwMode="auto">
                          <a:xfrm>
                            <a:off x="1268730" y="2901315"/>
                            <a:ext cx="54800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16"/>
                                  <w:szCs w:val="16"/>
                                </w:rPr>
                                <w:t>Farm Feeds</w:t>
                              </w:r>
                            </w:p>
                          </w:txbxContent>
                        </wps:txbx>
                        <wps:bodyPr rot="0" vert="horz" wrap="none" lIns="0" tIns="0" rIns="0" bIns="0" anchor="t" anchorCtr="0">
                          <a:spAutoFit/>
                        </wps:bodyPr>
                      </wps:wsp>
                      <wps:wsp>
                        <wps:cNvPr id="138" name="Freeform 132"/>
                        <wps:cNvSpPr>
                          <a:spLocks/>
                        </wps:cNvSpPr>
                        <wps:spPr bwMode="auto">
                          <a:xfrm>
                            <a:off x="1938020" y="2948940"/>
                            <a:ext cx="271145" cy="27305"/>
                          </a:xfrm>
                          <a:custGeom>
                            <a:avLst/>
                            <a:gdLst>
                              <a:gd name="T0" fmla="*/ 144 w 2848"/>
                              <a:gd name="T1" fmla="*/ 0 h 288"/>
                              <a:gd name="T2" fmla="*/ 2704 w 2848"/>
                              <a:gd name="T3" fmla="*/ 0 h 288"/>
                              <a:gd name="T4" fmla="*/ 2848 w 2848"/>
                              <a:gd name="T5" fmla="*/ 144 h 288"/>
                              <a:gd name="T6" fmla="*/ 2704 w 2848"/>
                              <a:gd name="T7" fmla="*/ 288 h 288"/>
                              <a:gd name="T8" fmla="*/ 144 w 2848"/>
                              <a:gd name="T9" fmla="*/ 288 h 288"/>
                              <a:gd name="T10" fmla="*/ 0 w 2848"/>
                              <a:gd name="T11" fmla="*/ 144 h 288"/>
                              <a:gd name="T12" fmla="*/ 144 w 2848"/>
                              <a:gd name="T13" fmla="*/ 0 h 288"/>
                            </a:gdLst>
                            <a:ahLst/>
                            <a:cxnLst>
                              <a:cxn ang="0">
                                <a:pos x="T0" y="T1"/>
                              </a:cxn>
                              <a:cxn ang="0">
                                <a:pos x="T2" y="T3"/>
                              </a:cxn>
                              <a:cxn ang="0">
                                <a:pos x="T4" y="T5"/>
                              </a:cxn>
                              <a:cxn ang="0">
                                <a:pos x="T6" y="T7"/>
                              </a:cxn>
                              <a:cxn ang="0">
                                <a:pos x="T8" y="T9"/>
                              </a:cxn>
                              <a:cxn ang="0">
                                <a:pos x="T10" y="T11"/>
                              </a:cxn>
                              <a:cxn ang="0">
                                <a:pos x="T12" y="T13"/>
                              </a:cxn>
                            </a:cxnLst>
                            <a:rect l="0" t="0" r="r" b="b"/>
                            <a:pathLst>
                              <a:path w="2848" h="288">
                                <a:moveTo>
                                  <a:pt x="144" y="0"/>
                                </a:moveTo>
                                <a:lnTo>
                                  <a:pt x="2704" y="0"/>
                                </a:lnTo>
                                <a:cubicBezTo>
                                  <a:pt x="2784" y="0"/>
                                  <a:pt x="2848" y="65"/>
                                  <a:pt x="2848" y="144"/>
                                </a:cubicBezTo>
                                <a:cubicBezTo>
                                  <a:pt x="2848" y="224"/>
                                  <a:pt x="2784" y="288"/>
                                  <a:pt x="2704" y="288"/>
                                </a:cubicBezTo>
                                <a:lnTo>
                                  <a:pt x="144" y="288"/>
                                </a:lnTo>
                                <a:cubicBezTo>
                                  <a:pt x="65" y="288"/>
                                  <a:pt x="0" y="224"/>
                                  <a:pt x="0" y="144"/>
                                </a:cubicBezTo>
                                <a:cubicBezTo>
                                  <a:pt x="0" y="65"/>
                                  <a:pt x="65" y="0"/>
                                  <a:pt x="144" y="0"/>
                                </a:cubicBezTo>
                                <a:close/>
                              </a:path>
                            </a:pathLst>
                          </a:custGeom>
                          <a:solidFill>
                            <a:srgbClr val="C3D69B"/>
                          </a:solidFill>
                          <a:ln w="1270" cap="flat">
                            <a:solidFill>
                              <a:srgbClr val="C3D69B"/>
                            </a:solidFill>
                            <a:prstDash val="solid"/>
                            <a:bevel/>
                            <a:headEnd/>
                            <a:tailEnd/>
                          </a:ln>
                        </wps:spPr>
                        <wps:bodyPr rot="0" vert="horz" wrap="square" lIns="91440" tIns="45720" rIns="91440" bIns="45720" anchor="t" anchorCtr="0" upright="1">
                          <a:noAutofit/>
                        </wps:bodyPr>
                      </wps:wsp>
                      <wps:wsp>
                        <wps:cNvPr id="139" name="Freeform 133"/>
                        <wps:cNvSpPr>
                          <a:spLocks/>
                        </wps:cNvSpPr>
                        <wps:spPr bwMode="auto">
                          <a:xfrm>
                            <a:off x="2047875" y="2936875"/>
                            <a:ext cx="50800" cy="50800"/>
                          </a:xfrm>
                          <a:custGeom>
                            <a:avLst/>
                            <a:gdLst>
                              <a:gd name="T0" fmla="*/ 40 w 80"/>
                              <a:gd name="T1" fmla="*/ 0 h 80"/>
                              <a:gd name="T2" fmla="*/ 80 w 80"/>
                              <a:gd name="T3" fmla="*/ 80 h 80"/>
                              <a:gd name="T4" fmla="*/ 0 w 80"/>
                              <a:gd name="T5" fmla="*/ 80 h 80"/>
                              <a:gd name="T6" fmla="*/ 40 w 80"/>
                              <a:gd name="T7" fmla="*/ 0 h 80"/>
                            </a:gdLst>
                            <a:ahLst/>
                            <a:cxnLst>
                              <a:cxn ang="0">
                                <a:pos x="T0" y="T1"/>
                              </a:cxn>
                              <a:cxn ang="0">
                                <a:pos x="T2" y="T3"/>
                              </a:cxn>
                              <a:cxn ang="0">
                                <a:pos x="T4" y="T5"/>
                              </a:cxn>
                              <a:cxn ang="0">
                                <a:pos x="T6" y="T7"/>
                              </a:cxn>
                            </a:cxnLst>
                            <a:rect l="0" t="0" r="r" b="b"/>
                            <a:pathLst>
                              <a:path w="80" h="80">
                                <a:moveTo>
                                  <a:pt x="40" y="0"/>
                                </a:moveTo>
                                <a:lnTo>
                                  <a:pt x="80" y="80"/>
                                </a:lnTo>
                                <a:lnTo>
                                  <a:pt x="0" y="80"/>
                                </a:lnTo>
                                <a:lnTo>
                                  <a:pt x="40"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34"/>
                        <wps:cNvSpPr>
                          <a:spLocks noEditPoints="1"/>
                        </wps:cNvSpPr>
                        <wps:spPr bwMode="auto">
                          <a:xfrm>
                            <a:off x="2042795" y="2932430"/>
                            <a:ext cx="60325" cy="59690"/>
                          </a:xfrm>
                          <a:custGeom>
                            <a:avLst/>
                            <a:gdLst>
                              <a:gd name="T0" fmla="*/ 274 w 634"/>
                              <a:gd name="T1" fmla="*/ 26 h 629"/>
                              <a:gd name="T2" fmla="*/ 317 w 634"/>
                              <a:gd name="T3" fmla="*/ 0 h 629"/>
                              <a:gd name="T4" fmla="*/ 360 w 634"/>
                              <a:gd name="T5" fmla="*/ 26 h 629"/>
                              <a:gd name="T6" fmla="*/ 627 w 634"/>
                              <a:gd name="T7" fmla="*/ 560 h 629"/>
                              <a:gd name="T8" fmla="*/ 625 w 634"/>
                              <a:gd name="T9" fmla="*/ 606 h 629"/>
                              <a:gd name="T10" fmla="*/ 584 w 634"/>
                              <a:gd name="T11" fmla="*/ 629 h 629"/>
                              <a:gd name="T12" fmla="*/ 51 w 634"/>
                              <a:gd name="T13" fmla="*/ 629 h 629"/>
                              <a:gd name="T14" fmla="*/ 10 w 634"/>
                              <a:gd name="T15" fmla="*/ 606 h 629"/>
                              <a:gd name="T16" fmla="*/ 8 w 634"/>
                              <a:gd name="T17" fmla="*/ 560 h 629"/>
                              <a:gd name="T18" fmla="*/ 274 w 634"/>
                              <a:gd name="T19" fmla="*/ 26 h 629"/>
                              <a:gd name="T20" fmla="*/ 94 w 634"/>
                              <a:gd name="T21" fmla="*/ 603 h 629"/>
                              <a:gd name="T22" fmla="*/ 51 w 634"/>
                              <a:gd name="T23" fmla="*/ 533 h 629"/>
                              <a:gd name="T24" fmla="*/ 584 w 634"/>
                              <a:gd name="T25" fmla="*/ 533 h 629"/>
                              <a:gd name="T26" fmla="*/ 541 w 634"/>
                              <a:gd name="T27" fmla="*/ 603 h 629"/>
                              <a:gd name="T28" fmla="*/ 274 w 634"/>
                              <a:gd name="T29" fmla="*/ 69 h 629"/>
                              <a:gd name="T30" fmla="*/ 360 w 634"/>
                              <a:gd name="T31" fmla="*/ 69 h 629"/>
                              <a:gd name="T32" fmla="*/ 94 w 634"/>
                              <a:gd name="T33" fmla="*/ 603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4" h="629">
                                <a:moveTo>
                                  <a:pt x="274" y="26"/>
                                </a:moveTo>
                                <a:cubicBezTo>
                                  <a:pt x="283" y="10"/>
                                  <a:pt x="299" y="0"/>
                                  <a:pt x="317" y="0"/>
                                </a:cubicBezTo>
                                <a:cubicBezTo>
                                  <a:pt x="336" y="0"/>
                                  <a:pt x="352" y="10"/>
                                  <a:pt x="360" y="26"/>
                                </a:cubicBezTo>
                                <a:lnTo>
                                  <a:pt x="627" y="560"/>
                                </a:lnTo>
                                <a:cubicBezTo>
                                  <a:pt x="634" y="575"/>
                                  <a:pt x="634" y="592"/>
                                  <a:pt x="625" y="606"/>
                                </a:cubicBezTo>
                                <a:cubicBezTo>
                                  <a:pt x="616" y="620"/>
                                  <a:pt x="601" y="629"/>
                                  <a:pt x="584" y="629"/>
                                </a:cubicBezTo>
                                <a:lnTo>
                                  <a:pt x="51" y="629"/>
                                </a:lnTo>
                                <a:cubicBezTo>
                                  <a:pt x="34" y="629"/>
                                  <a:pt x="19" y="620"/>
                                  <a:pt x="10" y="606"/>
                                </a:cubicBezTo>
                                <a:cubicBezTo>
                                  <a:pt x="1" y="592"/>
                                  <a:pt x="0" y="575"/>
                                  <a:pt x="8" y="560"/>
                                </a:cubicBezTo>
                                <a:lnTo>
                                  <a:pt x="274" y="26"/>
                                </a:lnTo>
                                <a:close/>
                                <a:moveTo>
                                  <a:pt x="94" y="603"/>
                                </a:moveTo>
                                <a:lnTo>
                                  <a:pt x="51" y="533"/>
                                </a:lnTo>
                                <a:lnTo>
                                  <a:pt x="584" y="533"/>
                                </a:lnTo>
                                <a:lnTo>
                                  <a:pt x="541" y="603"/>
                                </a:lnTo>
                                <a:lnTo>
                                  <a:pt x="274" y="69"/>
                                </a:lnTo>
                                <a:lnTo>
                                  <a:pt x="360" y="69"/>
                                </a:lnTo>
                                <a:lnTo>
                                  <a:pt x="94" y="603"/>
                                </a:lnTo>
                                <a:close/>
                              </a:path>
                            </a:pathLst>
                          </a:custGeom>
                          <a:solidFill>
                            <a:srgbClr val="98B954"/>
                          </a:solidFill>
                          <a:ln w="1270" cap="flat">
                            <a:solidFill>
                              <a:srgbClr val="98B954"/>
                            </a:solidFill>
                            <a:prstDash val="solid"/>
                            <a:bevel/>
                            <a:headEnd/>
                            <a:tailEnd/>
                          </a:ln>
                        </wps:spPr>
                        <wps:bodyPr rot="0" vert="horz" wrap="square" lIns="91440" tIns="45720" rIns="91440" bIns="45720" anchor="t" anchorCtr="0" upright="1">
                          <a:noAutofit/>
                        </wps:bodyPr>
                      </wps:wsp>
                      <wps:wsp>
                        <wps:cNvPr id="141" name="Rectangle 135"/>
                        <wps:cNvSpPr>
                          <a:spLocks noChangeArrowheads="1"/>
                        </wps:cNvSpPr>
                        <wps:spPr bwMode="auto">
                          <a:xfrm>
                            <a:off x="2221865" y="2901315"/>
                            <a:ext cx="3898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r>
                                <w:rPr>
                                  <w:rFonts w:cs="Arial"/>
                                  <w:color w:val="000000"/>
                                  <w:sz w:val="16"/>
                                  <w:szCs w:val="16"/>
                                </w:rPr>
                                <w:t>Fertiliser</w:t>
                              </w:r>
                            </w:p>
                          </w:txbxContent>
                        </wps:txbx>
                        <wps:bodyPr rot="0" vert="horz" wrap="none" lIns="0" tIns="0" rIns="0" bIns="0" anchor="t" anchorCtr="0">
                          <a:spAutoFit/>
                        </wps:bodyPr>
                      </wps:wsp>
                      <wps:wsp>
                        <wps:cNvPr id="142" name="Freeform 136"/>
                        <wps:cNvSpPr>
                          <a:spLocks/>
                        </wps:cNvSpPr>
                        <wps:spPr bwMode="auto">
                          <a:xfrm>
                            <a:off x="2724150" y="2948940"/>
                            <a:ext cx="271145" cy="27305"/>
                          </a:xfrm>
                          <a:custGeom>
                            <a:avLst/>
                            <a:gdLst>
                              <a:gd name="T0" fmla="*/ 144 w 2848"/>
                              <a:gd name="T1" fmla="*/ 0 h 288"/>
                              <a:gd name="T2" fmla="*/ 2704 w 2848"/>
                              <a:gd name="T3" fmla="*/ 0 h 288"/>
                              <a:gd name="T4" fmla="*/ 2848 w 2848"/>
                              <a:gd name="T5" fmla="*/ 144 h 288"/>
                              <a:gd name="T6" fmla="*/ 2704 w 2848"/>
                              <a:gd name="T7" fmla="*/ 288 h 288"/>
                              <a:gd name="T8" fmla="*/ 144 w 2848"/>
                              <a:gd name="T9" fmla="*/ 288 h 288"/>
                              <a:gd name="T10" fmla="*/ 0 w 2848"/>
                              <a:gd name="T11" fmla="*/ 144 h 288"/>
                              <a:gd name="T12" fmla="*/ 144 w 2848"/>
                              <a:gd name="T13" fmla="*/ 0 h 288"/>
                            </a:gdLst>
                            <a:ahLst/>
                            <a:cxnLst>
                              <a:cxn ang="0">
                                <a:pos x="T0" y="T1"/>
                              </a:cxn>
                              <a:cxn ang="0">
                                <a:pos x="T2" y="T3"/>
                              </a:cxn>
                              <a:cxn ang="0">
                                <a:pos x="T4" y="T5"/>
                              </a:cxn>
                              <a:cxn ang="0">
                                <a:pos x="T6" y="T7"/>
                              </a:cxn>
                              <a:cxn ang="0">
                                <a:pos x="T8" y="T9"/>
                              </a:cxn>
                              <a:cxn ang="0">
                                <a:pos x="T10" y="T11"/>
                              </a:cxn>
                              <a:cxn ang="0">
                                <a:pos x="T12" y="T13"/>
                              </a:cxn>
                            </a:cxnLst>
                            <a:rect l="0" t="0" r="r" b="b"/>
                            <a:pathLst>
                              <a:path w="2848" h="288">
                                <a:moveTo>
                                  <a:pt x="144" y="0"/>
                                </a:moveTo>
                                <a:lnTo>
                                  <a:pt x="2704" y="0"/>
                                </a:lnTo>
                                <a:cubicBezTo>
                                  <a:pt x="2784" y="0"/>
                                  <a:pt x="2848" y="65"/>
                                  <a:pt x="2848" y="144"/>
                                </a:cubicBezTo>
                                <a:cubicBezTo>
                                  <a:pt x="2848" y="224"/>
                                  <a:pt x="2784" y="288"/>
                                  <a:pt x="2704" y="288"/>
                                </a:cubicBezTo>
                                <a:lnTo>
                                  <a:pt x="144" y="288"/>
                                </a:lnTo>
                                <a:cubicBezTo>
                                  <a:pt x="65" y="288"/>
                                  <a:pt x="0" y="224"/>
                                  <a:pt x="0" y="144"/>
                                </a:cubicBezTo>
                                <a:cubicBezTo>
                                  <a:pt x="0" y="65"/>
                                  <a:pt x="65" y="0"/>
                                  <a:pt x="144" y="0"/>
                                </a:cubicBezTo>
                                <a:close/>
                              </a:path>
                            </a:pathLst>
                          </a:custGeom>
                          <a:solidFill>
                            <a:srgbClr val="E01F16"/>
                          </a:solidFill>
                          <a:ln w="1270" cap="flat">
                            <a:solidFill>
                              <a:srgbClr val="E01F16"/>
                            </a:solidFill>
                            <a:prstDash val="solid"/>
                            <a:bevel/>
                            <a:headEnd/>
                            <a:tailEnd/>
                          </a:ln>
                        </wps:spPr>
                        <wps:bodyPr rot="0" vert="horz" wrap="square" lIns="91440" tIns="45720" rIns="91440" bIns="45720" anchor="t" anchorCtr="0" upright="1">
                          <a:noAutofit/>
                        </wps:bodyPr>
                      </wps:wsp>
                      <wps:wsp>
                        <wps:cNvPr id="143" name="Rectangle 137"/>
                        <wps:cNvSpPr>
                          <a:spLocks noChangeArrowheads="1"/>
                        </wps:cNvSpPr>
                        <wps:spPr bwMode="auto">
                          <a:xfrm>
                            <a:off x="2834005" y="2936875"/>
                            <a:ext cx="50165" cy="5016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Freeform 138"/>
                        <wps:cNvSpPr>
                          <a:spLocks noEditPoints="1"/>
                        </wps:cNvSpPr>
                        <wps:spPr bwMode="auto">
                          <a:xfrm>
                            <a:off x="2829560" y="2932430"/>
                            <a:ext cx="59055" cy="59055"/>
                          </a:xfrm>
                          <a:custGeom>
                            <a:avLst/>
                            <a:gdLst>
                              <a:gd name="T0" fmla="*/ 0 w 624"/>
                              <a:gd name="T1" fmla="*/ 48 h 624"/>
                              <a:gd name="T2" fmla="*/ 48 w 624"/>
                              <a:gd name="T3" fmla="*/ 0 h 624"/>
                              <a:gd name="T4" fmla="*/ 576 w 624"/>
                              <a:gd name="T5" fmla="*/ 0 h 624"/>
                              <a:gd name="T6" fmla="*/ 624 w 624"/>
                              <a:gd name="T7" fmla="*/ 48 h 624"/>
                              <a:gd name="T8" fmla="*/ 624 w 624"/>
                              <a:gd name="T9" fmla="*/ 576 h 624"/>
                              <a:gd name="T10" fmla="*/ 576 w 624"/>
                              <a:gd name="T11" fmla="*/ 624 h 624"/>
                              <a:gd name="T12" fmla="*/ 48 w 624"/>
                              <a:gd name="T13" fmla="*/ 624 h 624"/>
                              <a:gd name="T14" fmla="*/ 0 w 624"/>
                              <a:gd name="T15" fmla="*/ 576 h 624"/>
                              <a:gd name="T16" fmla="*/ 0 w 624"/>
                              <a:gd name="T17" fmla="*/ 48 h 624"/>
                              <a:gd name="T18" fmla="*/ 96 w 624"/>
                              <a:gd name="T19" fmla="*/ 576 h 624"/>
                              <a:gd name="T20" fmla="*/ 48 w 624"/>
                              <a:gd name="T21" fmla="*/ 528 h 624"/>
                              <a:gd name="T22" fmla="*/ 576 w 624"/>
                              <a:gd name="T23" fmla="*/ 528 h 624"/>
                              <a:gd name="T24" fmla="*/ 528 w 624"/>
                              <a:gd name="T25" fmla="*/ 576 h 624"/>
                              <a:gd name="T26" fmla="*/ 528 w 624"/>
                              <a:gd name="T27" fmla="*/ 48 h 624"/>
                              <a:gd name="T28" fmla="*/ 576 w 624"/>
                              <a:gd name="T29" fmla="*/ 96 h 624"/>
                              <a:gd name="T30" fmla="*/ 48 w 624"/>
                              <a:gd name="T31" fmla="*/ 96 h 624"/>
                              <a:gd name="T32" fmla="*/ 96 w 624"/>
                              <a:gd name="T33" fmla="*/ 48 h 624"/>
                              <a:gd name="T34" fmla="*/ 96 w 624"/>
                              <a:gd name="T35" fmla="*/ 576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24" h="624">
                                <a:moveTo>
                                  <a:pt x="0" y="48"/>
                                </a:moveTo>
                                <a:cubicBezTo>
                                  <a:pt x="0" y="22"/>
                                  <a:pt x="22" y="0"/>
                                  <a:pt x="48" y="0"/>
                                </a:cubicBezTo>
                                <a:lnTo>
                                  <a:pt x="576" y="0"/>
                                </a:lnTo>
                                <a:cubicBezTo>
                                  <a:pt x="603" y="0"/>
                                  <a:pt x="624" y="22"/>
                                  <a:pt x="624" y="48"/>
                                </a:cubicBezTo>
                                <a:lnTo>
                                  <a:pt x="624" y="576"/>
                                </a:lnTo>
                                <a:cubicBezTo>
                                  <a:pt x="624" y="603"/>
                                  <a:pt x="603" y="624"/>
                                  <a:pt x="576" y="624"/>
                                </a:cubicBezTo>
                                <a:lnTo>
                                  <a:pt x="48" y="624"/>
                                </a:lnTo>
                                <a:cubicBezTo>
                                  <a:pt x="22" y="624"/>
                                  <a:pt x="0" y="603"/>
                                  <a:pt x="0" y="576"/>
                                </a:cubicBezTo>
                                <a:lnTo>
                                  <a:pt x="0" y="48"/>
                                </a:lnTo>
                                <a:close/>
                                <a:moveTo>
                                  <a:pt x="96" y="576"/>
                                </a:moveTo>
                                <a:lnTo>
                                  <a:pt x="48" y="528"/>
                                </a:lnTo>
                                <a:lnTo>
                                  <a:pt x="576" y="528"/>
                                </a:lnTo>
                                <a:lnTo>
                                  <a:pt x="528" y="576"/>
                                </a:lnTo>
                                <a:lnTo>
                                  <a:pt x="528" y="48"/>
                                </a:lnTo>
                                <a:lnTo>
                                  <a:pt x="576" y="96"/>
                                </a:lnTo>
                                <a:lnTo>
                                  <a:pt x="48" y="96"/>
                                </a:lnTo>
                                <a:lnTo>
                                  <a:pt x="96" y="48"/>
                                </a:lnTo>
                                <a:lnTo>
                                  <a:pt x="96" y="576"/>
                                </a:lnTo>
                                <a:close/>
                              </a:path>
                            </a:pathLst>
                          </a:custGeom>
                          <a:solidFill>
                            <a:srgbClr val="C00000"/>
                          </a:solidFill>
                          <a:ln w="1270" cap="flat">
                            <a:solidFill>
                              <a:srgbClr val="C00000"/>
                            </a:solidFill>
                            <a:prstDash val="solid"/>
                            <a:bevel/>
                            <a:headEnd/>
                            <a:tailEnd/>
                          </a:ln>
                        </wps:spPr>
                        <wps:bodyPr rot="0" vert="horz" wrap="square" lIns="91440" tIns="45720" rIns="91440" bIns="45720" anchor="t" anchorCtr="0" upright="1">
                          <a:noAutofit/>
                        </wps:bodyPr>
                      </wps:wsp>
                      <wps:wsp>
                        <wps:cNvPr id="145" name="Rectangle 139"/>
                        <wps:cNvSpPr>
                          <a:spLocks noChangeArrowheads="1"/>
                        </wps:cNvSpPr>
                        <wps:spPr bwMode="auto">
                          <a:xfrm>
                            <a:off x="3007995" y="2901315"/>
                            <a:ext cx="76835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proofErr w:type="gramStart"/>
                              <w:r>
                                <w:rPr>
                                  <w:rFonts w:cs="Arial"/>
                                  <w:color w:val="000000"/>
                                  <w:sz w:val="16"/>
                                  <w:szCs w:val="16"/>
                                </w:rPr>
                                <w:t>seeds</w:t>
                              </w:r>
                              <w:proofErr w:type="gramEnd"/>
                              <w:r>
                                <w:rPr>
                                  <w:rFonts w:cs="Arial"/>
                                  <w:color w:val="000000"/>
                                  <w:sz w:val="16"/>
                                  <w:szCs w:val="16"/>
                                </w:rPr>
                                <w:t xml:space="preserve"> and plants</w:t>
                              </w:r>
                            </w:p>
                          </w:txbxContent>
                        </wps:txbx>
                        <wps:bodyPr rot="0" vert="horz" wrap="none" lIns="0" tIns="0" rIns="0" bIns="0" anchor="t" anchorCtr="0">
                          <a:spAutoFit/>
                        </wps:bodyPr>
                      </wps:wsp>
                      <wps:wsp>
                        <wps:cNvPr id="146" name="Freeform 140"/>
                        <wps:cNvSpPr>
                          <a:spLocks/>
                        </wps:cNvSpPr>
                        <wps:spPr bwMode="auto">
                          <a:xfrm>
                            <a:off x="3909695" y="2948940"/>
                            <a:ext cx="271145" cy="27305"/>
                          </a:xfrm>
                          <a:custGeom>
                            <a:avLst/>
                            <a:gdLst>
                              <a:gd name="T0" fmla="*/ 72 w 1424"/>
                              <a:gd name="T1" fmla="*/ 0 h 144"/>
                              <a:gd name="T2" fmla="*/ 1352 w 1424"/>
                              <a:gd name="T3" fmla="*/ 0 h 144"/>
                              <a:gd name="T4" fmla="*/ 1424 w 1424"/>
                              <a:gd name="T5" fmla="*/ 72 h 144"/>
                              <a:gd name="T6" fmla="*/ 1352 w 1424"/>
                              <a:gd name="T7" fmla="*/ 144 h 144"/>
                              <a:gd name="T8" fmla="*/ 72 w 1424"/>
                              <a:gd name="T9" fmla="*/ 144 h 144"/>
                              <a:gd name="T10" fmla="*/ 0 w 1424"/>
                              <a:gd name="T11" fmla="*/ 72 h 144"/>
                              <a:gd name="T12" fmla="*/ 72 w 1424"/>
                              <a:gd name="T13" fmla="*/ 0 h 144"/>
                            </a:gdLst>
                            <a:ahLst/>
                            <a:cxnLst>
                              <a:cxn ang="0">
                                <a:pos x="T0" y="T1"/>
                              </a:cxn>
                              <a:cxn ang="0">
                                <a:pos x="T2" y="T3"/>
                              </a:cxn>
                              <a:cxn ang="0">
                                <a:pos x="T4" y="T5"/>
                              </a:cxn>
                              <a:cxn ang="0">
                                <a:pos x="T6" y="T7"/>
                              </a:cxn>
                              <a:cxn ang="0">
                                <a:pos x="T8" y="T9"/>
                              </a:cxn>
                              <a:cxn ang="0">
                                <a:pos x="T10" y="T11"/>
                              </a:cxn>
                              <a:cxn ang="0">
                                <a:pos x="T12" y="T13"/>
                              </a:cxn>
                            </a:cxnLst>
                            <a:rect l="0" t="0" r="r" b="b"/>
                            <a:pathLst>
                              <a:path w="1424" h="144">
                                <a:moveTo>
                                  <a:pt x="72" y="0"/>
                                </a:moveTo>
                                <a:lnTo>
                                  <a:pt x="1352" y="0"/>
                                </a:lnTo>
                                <a:cubicBezTo>
                                  <a:pt x="1392" y="0"/>
                                  <a:pt x="1424" y="33"/>
                                  <a:pt x="1424" y="72"/>
                                </a:cubicBezTo>
                                <a:cubicBezTo>
                                  <a:pt x="1424" y="112"/>
                                  <a:pt x="1392" y="144"/>
                                  <a:pt x="1352" y="144"/>
                                </a:cubicBezTo>
                                <a:lnTo>
                                  <a:pt x="72" y="144"/>
                                </a:lnTo>
                                <a:cubicBezTo>
                                  <a:pt x="33" y="144"/>
                                  <a:pt x="0" y="112"/>
                                  <a:pt x="0" y="72"/>
                                </a:cubicBezTo>
                                <a:cubicBezTo>
                                  <a:pt x="0" y="33"/>
                                  <a:pt x="33" y="0"/>
                                  <a:pt x="72" y="0"/>
                                </a:cubicBezTo>
                                <a:close/>
                              </a:path>
                            </a:pathLst>
                          </a:custGeom>
                          <a:solidFill>
                            <a:srgbClr val="D8A851"/>
                          </a:solidFill>
                          <a:ln w="1270" cap="flat">
                            <a:solidFill>
                              <a:srgbClr val="D8A851"/>
                            </a:solidFill>
                            <a:prstDash val="solid"/>
                            <a:bevel/>
                            <a:headEnd/>
                            <a:tailEnd/>
                          </a:ln>
                        </wps:spPr>
                        <wps:bodyPr rot="0" vert="horz" wrap="square" lIns="91440" tIns="45720" rIns="91440" bIns="45720" anchor="t" anchorCtr="0" upright="1">
                          <a:noAutofit/>
                        </wps:bodyPr>
                      </wps:wsp>
                      <wps:wsp>
                        <wps:cNvPr id="147" name="Freeform 141"/>
                        <wps:cNvSpPr>
                          <a:spLocks noEditPoints="1"/>
                        </wps:cNvSpPr>
                        <wps:spPr bwMode="auto">
                          <a:xfrm>
                            <a:off x="4015105" y="2932430"/>
                            <a:ext cx="60960" cy="59055"/>
                          </a:xfrm>
                          <a:custGeom>
                            <a:avLst/>
                            <a:gdLst>
                              <a:gd name="T0" fmla="*/ 82 w 96"/>
                              <a:gd name="T1" fmla="*/ 93 h 93"/>
                              <a:gd name="T2" fmla="*/ 0 w 96"/>
                              <a:gd name="T3" fmla="*/ 14 h 93"/>
                              <a:gd name="T4" fmla="*/ 14 w 96"/>
                              <a:gd name="T5" fmla="*/ 0 h 93"/>
                              <a:gd name="T6" fmla="*/ 96 w 96"/>
                              <a:gd name="T7" fmla="*/ 79 h 93"/>
                              <a:gd name="T8" fmla="*/ 82 w 96"/>
                              <a:gd name="T9" fmla="*/ 93 h 93"/>
                              <a:gd name="T10" fmla="*/ 57 w 96"/>
                              <a:gd name="T11" fmla="*/ 7 h 93"/>
                              <a:gd name="T12" fmla="*/ 57 w 96"/>
                              <a:gd name="T13" fmla="*/ 86 h 93"/>
                              <a:gd name="T14" fmla="*/ 38 w 96"/>
                              <a:gd name="T15" fmla="*/ 86 h 93"/>
                              <a:gd name="T16" fmla="*/ 38 w 96"/>
                              <a:gd name="T17" fmla="*/ 7 h 93"/>
                              <a:gd name="T18" fmla="*/ 57 w 96"/>
                              <a:gd name="T19" fmla="*/ 7 h 93"/>
                              <a:gd name="T20" fmla="*/ 0 w 96"/>
                              <a:gd name="T21" fmla="*/ 79 h 93"/>
                              <a:gd name="T22" fmla="*/ 82 w 96"/>
                              <a:gd name="T23" fmla="*/ 0 h 93"/>
                              <a:gd name="T24" fmla="*/ 96 w 96"/>
                              <a:gd name="T25" fmla="*/ 14 h 93"/>
                              <a:gd name="T26" fmla="*/ 14 w 96"/>
                              <a:gd name="T27" fmla="*/ 93 h 93"/>
                              <a:gd name="T28" fmla="*/ 0 w 96"/>
                              <a:gd name="T29" fmla="*/ 7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6" h="93">
                                <a:moveTo>
                                  <a:pt x="82" y="93"/>
                                </a:moveTo>
                                <a:lnTo>
                                  <a:pt x="0" y="14"/>
                                </a:lnTo>
                                <a:lnTo>
                                  <a:pt x="14" y="0"/>
                                </a:lnTo>
                                <a:lnTo>
                                  <a:pt x="96" y="79"/>
                                </a:lnTo>
                                <a:lnTo>
                                  <a:pt x="82" y="93"/>
                                </a:lnTo>
                                <a:close/>
                                <a:moveTo>
                                  <a:pt x="57" y="7"/>
                                </a:moveTo>
                                <a:lnTo>
                                  <a:pt x="57" y="86"/>
                                </a:lnTo>
                                <a:lnTo>
                                  <a:pt x="38" y="86"/>
                                </a:lnTo>
                                <a:lnTo>
                                  <a:pt x="38" y="7"/>
                                </a:lnTo>
                                <a:lnTo>
                                  <a:pt x="57" y="7"/>
                                </a:lnTo>
                                <a:close/>
                                <a:moveTo>
                                  <a:pt x="0" y="79"/>
                                </a:moveTo>
                                <a:lnTo>
                                  <a:pt x="82" y="0"/>
                                </a:lnTo>
                                <a:lnTo>
                                  <a:pt x="96" y="14"/>
                                </a:lnTo>
                                <a:lnTo>
                                  <a:pt x="14" y="93"/>
                                </a:lnTo>
                                <a:lnTo>
                                  <a:pt x="0" y="79"/>
                                </a:lnTo>
                                <a:close/>
                              </a:path>
                            </a:pathLst>
                          </a:custGeom>
                          <a:solidFill>
                            <a:srgbClr val="E46C0A"/>
                          </a:solidFill>
                          <a:ln w="1270" cap="flat">
                            <a:solidFill>
                              <a:srgbClr val="E46C0A"/>
                            </a:solidFill>
                            <a:prstDash val="solid"/>
                            <a:bevel/>
                            <a:headEnd/>
                            <a:tailEnd/>
                          </a:ln>
                        </wps:spPr>
                        <wps:bodyPr rot="0" vert="horz" wrap="square" lIns="91440" tIns="45720" rIns="91440" bIns="45720" anchor="t" anchorCtr="0" upright="1">
                          <a:noAutofit/>
                        </wps:bodyPr>
                      </wps:wsp>
                      <wps:wsp>
                        <wps:cNvPr id="148" name="Rectangle 142"/>
                        <wps:cNvSpPr>
                          <a:spLocks noChangeArrowheads="1"/>
                        </wps:cNvSpPr>
                        <wps:spPr bwMode="auto">
                          <a:xfrm>
                            <a:off x="4194175" y="2901315"/>
                            <a:ext cx="6045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059" w:rsidRDefault="002E6059" w:rsidP="00C939D5">
                              <w:proofErr w:type="gramStart"/>
                              <w:r>
                                <w:rPr>
                                  <w:rFonts w:cs="Arial"/>
                                  <w:color w:val="000000"/>
                                  <w:sz w:val="16"/>
                                  <w:szCs w:val="16"/>
                                </w:rPr>
                                <w:t>farm</w:t>
                              </w:r>
                              <w:proofErr w:type="gramEnd"/>
                              <w:r>
                                <w:rPr>
                                  <w:rFonts w:cs="Arial"/>
                                  <w:color w:val="000000"/>
                                  <w:sz w:val="16"/>
                                  <w:szCs w:val="16"/>
                                </w:rPr>
                                <w:t xml:space="preserve"> services</w:t>
                              </w:r>
                            </w:p>
                          </w:txbxContent>
                        </wps:txbx>
                        <wps:bodyPr rot="0" vert="horz" wrap="none" lIns="0" tIns="0" rIns="0" bIns="0" anchor="t" anchorCtr="0">
                          <a:spAutoFit/>
                        </wps:bodyPr>
                      </wps:wsp>
                      <wps:wsp>
                        <wps:cNvPr id="149" name="Rectangle 143"/>
                        <wps:cNvSpPr>
                          <a:spLocks noChangeArrowheads="1"/>
                        </wps:cNvSpPr>
                        <wps:spPr bwMode="auto">
                          <a:xfrm>
                            <a:off x="10795" y="10795"/>
                            <a:ext cx="5149215" cy="3223895"/>
                          </a:xfrm>
                          <a:prstGeom prst="rect">
                            <a:avLst/>
                          </a:prstGeom>
                          <a:noFill/>
                          <a:ln w="22860" cap="flat">
                            <a:solidFill>
                              <a:srgbClr val="C3D6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150" o:spid="_x0000_s1032" editas="canvas" style="width:407.15pt;height:255.55pt;mso-position-horizontal-relative:char;mso-position-vertical-relative:line" coordsize="51708,3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51708;height:32454;visibility:visible;mso-wrap-style:square">
                  <v:fill o:detectmouseclick="t"/>
                  <v:path o:connecttype="none"/>
                </v:shape>
                <v:rect id="Rectangle 5" o:spid="_x0000_s1034" style="position:absolute;left:101;top:101;width:51492;height:3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0uMMA&#10;AADaAAAADwAAAGRycy9kb3ducmV2LnhtbESPX2vCMBTF3wd+h3AF39bUImN0RhmCUGTgVqWyt0tz&#10;bcuam9JkbfXTL4PBHg/nz4+z3k6mFQP1rrGsYBnFIIhLqxuuFJxP+8dnEM4ja2wtk4IbOdhuZg9r&#10;TLUd+YOG3FcijLBLUUHtfZdK6cqaDLrIdsTBu9reoA+yr6TucQzjppVJHD9Jgw0HQo0d7Woqv/Jv&#10;E7jJ8e3zVubFvb1cR8L3rEgOVqnFfHp9AeFp8v/hv3amFazg90q4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U0uMMAAADaAAAADwAAAAAAAAAAAAAAAACYAgAAZHJzL2Rv&#10;d25yZXYueG1sUEsFBgAAAAAEAAQA9QAAAIgDAAAAAA==&#10;" fillcolor="#ebf1de" stroked="f"/>
                <v:rect id="Rectangle 6" o:spid="_x0000_s1035" style="position:absolute;left:10598;top:3378;width:38620;height:20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shape id="Freeform 7" o:spid="_x0000_s1036" style="position:absolute;left:10598;top:3333;width:38620;height:17545;visibility:visible;mso-wrap-style:square;v-text-anchor:top" coordsize="6082,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r1sMA&#10;AADbAAAADwAAAGRycy9kb3ducmV2LnhtbESPQW/CMAyF75P4D5En7TbS7YBQaUAIgTQ4DajE1Uu8&#10;tqJxShOg+/fzAYmbrff83udiMfhW3aiPTWADH+MMFLENruHKQHncvE9BxYTssA1MBv4owmI+eikw&#10;d+HOe7odUqUkhGOOBuqUulzraGvyGMehIxbtN/Qek6x9pV2Pdwn3rf7Mson22LA01NjRqiZ7Ply9&#10;gR13m+kOf8rTZTuxNlzX32lbGvP2OixnoBIN6Wl+XH85wRd6+UUG0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er1sMAAADbAAAADwAAAAAAAAAAAAAAAACYAgAAZHJzL2Rv&#10;d25yZXYueG1sUEsFBgAAAAAEAAQA9QAAAIgDAAAAAA==&#10;" path="m,2748r6082,l6082,2763,,2763r,-15xm,2199r6082,l6082,2213,,2213r,-14xm,1649r6082,l6082,1663,,1663r,-14xm,1099r6082,l6082,1113,,1113r,-14xm,549r6082,l6082,564,,564,,549xm,l6082,r,14l,14,,xe" fillcolor="#868686" strokecolor="#868686" strokeweight=".1pt">
                  <v:stroke joinstyle="bevel"/>
                  <v:path arrowok="t" o:connecttype="custom" o:connectlocs="0,1744980;3862070,1744980;3862070,1754505;0,1754505;0,1744980;0,1396365;3862070,1396365;3862070,1405255;0,1405255;0,1396365;0,1047115;3862070,1047115;3862070,1056005;0,1056005;0,1047115;0,697865;3862070,697865;3862070,706755;0,706755;0,697865;0,348615;3862070,348615;3862070,358140;0,358140;0,348615;0,0;3862070,0;3862070,8890;0,8890;0,0" o:connectangles="0,0,0,0,0,0,0,0,0,0,0,0,0,0,0,0,0,0,0,0,0,0,0,0,0,0,0,0,0,0"/>
                  <o:lock v:ext="edit" verticies="t"/>
                </v:shape>
                <v:rect id="Rectangle 8" o:spid="_x0000_s1037" style="position:absolute;left:10553;top:3378;width:89;height:20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HV8AA&#10;AADbAAAADwAAAGRycy9kb3ducmV2LnhtbERPTYvCMBC9L/gfwgje1lQXZK1GEaFQj+rCrrehGdti&#10;M6lJ1tZ/bwTB2zze5yzXvWnEjZyvLSuYjBMQxIXVNZcKfo7Z5zcIH5A1NpZJwZ08rFeDjyWm2na8&#10;p9shlCKGsE9RQRVCm0rpi4oM+rFtiSN3ts5giNCVUjvsYrhp5DRJZtJgzbGhwpa2FRWXw79RMM2+&#10;duV2nrhsp2V+Pf7mp0v3p9Ro2G8WIAL14S1+uXMd50/g+Us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AHV8AAAADbAAAADwAAAAAAAAAAAAAAAACYAgAAZHJzL2Rvd25y&#10;ZXYueG1sUEsFBgAAAAAEAAQA9QAAAIUDAAAAAA==&#10;" fillcolor="#868686" strokecolor="#868686" strokeweight=".1pt">
                  <v:stroke joinstyle="bevel"/>
                </v:rect>
                <v:shape id="Freeform 9" o:spid="_x0000_s1038" style="position:absolute;left:10217;top:3333;width:381;height:21031;visibility:visible;mso-wrap-style:square;v-text-anchor:top" coordsize="60,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SA8YA&#10;AADbAAAADwAAAGRycy9kb3ducmV2LnhtbESPQWvCQBCF74L/YRmhN7MxB2nTbEQUISdpowd7m2an&#10;SdrsbMiuJu2v7xYK3mZ4b973JttMphM3GlxrWcEqikEQV1a3XCs4nw7LRxDOI2vsLJOCb3Kwyeez&#10;DFNtR36lW+lrEULYpaig8b5PpXRVQwZdZHvioH3YwaAP61BLPeAYwk0nkzheS4MtB0KDPe0aqr7K&#10;qwncl9X7rjhcjz9Pb0lxKdxpf7afSj0spu0zCE+Tv5v/rwsd6ifw90sY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RSA8YAAADbAAAADwAAAAAAAAAAAAAAAACYAgAAZHJz&#10;L2Rvd25yZXYueG1sUEsFBgAAAAAEAAQA9QAAAIsDAAAAAA==&#10;" path="m,3298r60,l60,3312r-60,l,3298xm,2748r60,l60,2763r-60,l,2748xm,2199r60,l60,2213r-60,l,2199xm,1649r60,l60,1663r-60,l,1649xm,1099r60,l60,1113r-60,l,1099xm,549r60,l60,564,,564,,549xm,l60,r,14l,14,,xe" fillcolor="#868686" strokecolor="#868686" strokeweight=".1pt">
                  <v:stroke joinstyle="bevel"/>
                  <v:path arrowok="t" o:connecttype="custom" o:connectlocs="0,2094230;38100,2094230;38100,2103120;0,2103120;0,2094230;0,1744980;38100,1744980;38100,1754505;0,1754505;0,1744980;0,1396365;38100,1396365;38100,1405255;0,1405255;0,1396365;0,1047115;38100,1047115;38100,1056005;0,1056005;0,1047115;0,697865;38100,697865;38100,706755;0,706755;0,697865;0,348615;38100,348615;38100,358140;0,358140;0,348615;0,0;38100,0;38100,8890;0,8890;0,0" o:connectangles="0,0,0,0,0,0,0,0,0,0,0,0,0,0,0,0,0,0,0,0,0,0,0,0,0,0,0,0,0,0,0,0,0,0,0"/>
                  <o:lock v:ext="edit" verticies="t"/>
                </v:shape>
                <v:rect id="Rectangle 10" o:spid="_x0000_s1039" style="position:absolute;left:10598;top:24276;width:38620;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kz8EA&#10;AADbAAAADwAAAGRycy9kb3ducmV2LnhtbERPS2vCQBC+F/oflil4azZVKTW6ShEC8egDrLchOybB&#10;7GzcXU3677uC0Nt8fM9ZrAbTijs531hW8JGkIIhLqxuuFBz2+fsXCB+QNbaWScEveVgtX18WmGnb&#10;85buu1CJGMI+QwV1CF0mpS9rMugT2xFH7mydwRChq6R22Mdw08pxmn5Kgw3Hhho7WtdUXnY3o2Cc&#10;TzbVepa6fKNlcd0fi9Ol/1Fq9DZ8z0EEGsK/+OkudJw/hc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XpM/BAAAA2wAAAA8AAAAAAAAAAAAAAAAAmAIAAGRycy9kb3du&#10;cmV2LnhtbFBLBQYAAAAABAAEAPUAAACGAwAAAAA=&#10;" fillcolor="#868686" strokecolor="#868686" strokeweight=".1pt">
                  <v:stroke joinstyle="bevel"/>
                </v:rect>
                <v:shape id="Freeform 11" o:spid="_x0000_s1040" style="position:absolute;left:10553;top:24320;width:38710;height:381;visibility:visible;mso-wrap-style:square;v-text-anchor:top" coordsize="60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SesMA&#10;AADbAAAADwAAAGRycy9kb3ducmV2LnhtbERPTUsDMRC9C/6HMIKXYrMKLWXbtCxi0UPBdiv0OmzG&#10;ZLubyZLEdv33RhC8zeN9zmozul5cKMTWs4LHaQGCuPG6ZaPg47h9WICICVlj75kUfFOEzfr2ZoWl&#10;9lc+0KVORuQQjiUqsCkNpZSxseQwTv1AnLlPHxymDIOROuA1h7tePhXFXDpsOTdYHOjZUtPVX07B&#10;UVc2vJrx3J2q7eSle9/vzzuj1P3dWC1BJBrTv/jP/abz/Bn8/p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cSesMAAADbAAAADwAAAAAAAAAAAAAAAACYAgAAZHJzL2Rv&#10;d25yZXYueG1sUEsFBgAAAAAEAAQA9QAAAIgDAAAAAA==&#10;" path="m14,r,60l,60,,,14,xm691,r,60l677,60,677,r14,xm1366,r,60l1351,60r,-60l1366,xm2042,r,60l2028,60r,-60l2042,xm2717,r,60l2702,60r,-60l2717,xm3394,r,60l3379,60r,-60l3394,xm4068,r,60l4054,60r,-60l4068,xm4745,r,60l4730,60r,-60l4745,xm5419,r,60l5405,60r,-60l5419,xm6096,r,60l6082,60r,-60l6096,xe" fillcolor="#868686" strokecolor="#868686" strokeweight=".1pt">
                  <v:stroke joinstyle="bevel"/>
                  <v:path arrowok="t" o:connecttype="custom" o:connectlocs="8890,0;8890,38100;0,38100;0,0;8890,0;438785,0;438785,38100;429895,38100;429895,0;438785,0;867410,0;867410,38100;857885,38100;857885,0;867410,0;1296670,0;1296670,38100;1287780,38100;1287780,0;1296670,0;1725295,0;1725295,38100;1715770,38100;1715770,0;1725295,0;2155190,0;2155190,38100;2145665,38100;2145665,0;2155190,0;2583180,0;2583180,38100;2574290,38100;2574290,0;2583180,0;3013075,0;3013075,38100;3003550,38100;3003550,0;3013075,0;3441065,0;3441065,38100;3432175,38100;3432175,0;3441065,0;3870960,0;3870960,38100;3862070,38100;3862070,0;3870960,0" o:connectangles="0,0,0,0,0,0,0,0,0,0,0,0,0,0,0,0,0,0,0,0,0,0,0,0,0,0,0,0,0,0,0,0,0,0,0,0,0,0,0,0,0,0,0,0,0,0,0,0,0,0"/>
                  <o:lock v:ext="edit" verticies="t"/>
                </v:shape>
                <v:shape id="Freeform 12" o:spid="_x0000_s1041" style="position:absolute;left:12604;top:18376;width:34614;height:1842;visibility:visible;mso-wrap-style:square;v-text-anchor:top" coordsize="18173,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TYL4A&#10;AADbAAAADwAAAGRycy9kb3ducmV2LnhtbERPTYvCMBC9L/gfwgje1lQPulSjqCAoenCr3odmbIrN&#10;pDRR6783guBtHu9zpvPWVuJOjS8dKxj0ExDEudMlFwpOx/XvHwgfkDVWjknBkzzMZ52fKabaPfif&#10;7lkoRAxhn6ICE0KdSulzQxZ939XEkbu4xmKIsCmkbvARw20lh0kykhZLjg0Ga1oZyq/ZzSo478PB&#10;3qzZXTd4yZZjHjy3y7VSvW67mIAI1Iav+OPe6Dh/BO9f4gFy9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k2C+AAAA2wAAAA8AAAAAAAAAAAAAAAAAmAIAAGRycy9kb3ducmV2&#10;LnhtbFBLBQYAAAAABAAEAPUAAACDAwAAAAA=&#10;" path="m67,817l2315,481v3,,7,-1,11,-1l4582,488,6820,193v8,-1,16,-1,24,1l9100,674r-25,-1l11331,337v3,,7,-1,10,-1l13589,336r-10,1l15835,1v9,-1,18,-1,27,1l18110,522v38,9,63,48,54,87c18155,647,18116,672,18077,663l15829,143r27,1l13600,480v-3,,-7,,-11,l11341,480r11,l9096,816v-8,1,-17,1,-26,-1l6814,335r25,1l4581,632,2325,624r11,l88,960c49,966,12,938,6,899,,860,27,823,67,817xe" fillcolor="#005d28" strokecolor="#005d28" strokeweight=".1pt">
                  <v:stroke joinstyle="bevel"/>
                  <v:path arrowok="t" o:connecttype="custom" o:connectlocs="12761,155746;440935,91694;443030,91503;872727,93028;1298996,36792;1303567,36983;1733264,128486;1728502,128295;2158199,64243;2160104,64052;2588277,64052;2586372,64243;3016070,191;3021212,381;3449385,99510;3459671,116095;3443100,126389;3014927,27260;3020069,27451;2590372,91503;2588277,91503;2160104,91503;2162199,91503;1732502,155555;1727550,155365;1297853,63862;1302614,64052;872536,120479;442839,118954;444935,118954;16761,183006;1143,171378;12761,155746" o:connectangles="0,0,0,0,0,0,0,0,0,0,0,0,0,0,0,0,0,0,0,0,0,0,0,0,0,0,0,0,0,0,0,0,0"/>
                </v:shape>
                <v:shape id="Freeform 13" o:spid="_x0000_s1042" style="position:absolute;left:12293;top:19608;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izcEA&#10;AADbAAAADwAAAGRycy9kb3ducmV2LnhtbERPzYrCMBC+L/gOYQRva6oHd6lGUVHxsgurPsDQjE1p&#10;M6lNbOs+/WZB8DYf3+8sVr2tREuNLxwrmIwTEMSZ0wXnCi7n/fsnCB+QNVaOScGDPKyWg7cFptp1&#10;/EPtKeQihrBPUYEJoU6l9Jkhi37sauLIXV1jMUTY5FI32MVwW8lpksykxYJjg8Gatoay8nS3Crry&#10;u7w+2sN+mszuu6/21/Bts1FqNOzXcxCB+vASP91HHed/wP8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6os3BAAAA2wAAAA8AAAAAAAAAAAAAAAAAmAIAAGRycy9kb3du&#10;cmV2LnhtbFBLBQYAAAAABAAEAPUAAACGAwAAAAA=&#10;" path="m70,r69,70l70,140,,70,70,xe" fillcolor="#3b4a1e" stroked="f">
                  <v:path arrowok="t" o:connecttype="custom" o:connectlocs="44450,0;88265,44450;44450,88900;0,44450;44450,0" o:connectangles="0,0,0,0,0"/>
                </v:shape>
                <v:shape id="Freeform 14" o:spid="_x0000_s1043" style="position:absolute;left:12293;top:19608;width:883;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nhsMA&#10;AADbAAAADwAAAGRycy9kb3ducmV2LnhtbESPQWvCQBCF74L/YRnBm25sQSS6SikW0kulKngdstMk&#10;NDsbdtck/nvnUOhthvfmvW92h9G1qqcQG88GVssMFHHpbcOVgevlY7EBFROyxdYzGXhQhMN+Otlh&#10;bv3A39SfU6UkhGOOBuqUulzrWNbkMC59Ryzajw8Ok6yh0jbgIOGu1S9ZttYOG5aGGjt6r6n8Pd+d&#10;gS4byvtnf7yE21cxFMWp2by2D2Pms/FtCyrRmP7Nf9eFFXyBlV9kA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znhsMAAADbAAAADwAAAAAAAAAAAAAAAACYAgAAZHJzL2Rv&#10;d25yZXYueG1sUEsFBgAAAAAEAAQA9QAAAIgDAAAAAA==&#10;" path="m70,r69,70l70,140,,70,70,xe" filled="f" strokecolor="#3b4a1e" strokeweight=".7pt">
                  <v:path arrowok="t" o:connecttype="custom" o:connectlocs="44450,0;88265,44450;44450,88900;0,44450;44450,0" o:connectangles="0,0,0,0,0"/>
                </v:shape>
                <v:shape id="Freeform 15" o:spid="_x0000_s1044" style="position:absolute;left:16586;top:18986;width:889;height:883;visibility:visible;mso-wrap-style:square;v-text-anchor:top" coordsize="14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N28UA&#10;AADbAAAADwAAAGRycy9kb3ducmV2LnhtbESPQWsCMRCF7wX/QxjBi9RsRYrdGkWqotJT1yIeh824&#10;u5hM1k3U9d+bgtDbDO/N+95MZq014kqNrxwreBskIIhzpysuFPzuVq9jED4gazSOScGdPMymnZcJ&#10;ptrd+IeuWShEDGGfooIyhDqV0uclWfQDVxNH7egaiyGuTSF1g7cYbo0cJsm7tFhxJJRY01dJ+Sm7&#10;2MgdGXM+LBbSb/fHOy6/D+t9f6RUr9vOP0EEasO/+Xm90bH+B/z9Ege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43bxQAAANsAAAAPAAAAAAAAAAAAAAAAAJgCAABkcnMv&#10;ZG93bnJldi54bWxQSwUGAAAAAAQABAD1AAAAigMAAAAA&#10;" path="m70,r70,70l70,139,,70,70,xe" fillcolor="#3b4a1e" stroked="f">
                  <v:path arrowok="t" o:connecttype="custom" o:connectlocs="44450,0;88900,44450;44450,88265;0,44450;44450,0" o:connectangles="0,0,0,0,0"/>
                </v:shape>
                <v:shape id="Freeform 16" o:spid="_x0000_s1045" style="position:absolute;left:16586;top:18986;width:889;height:883;visibility:visible;mso-wrap-style:square;v-text-anchor:top" coordsize="14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P2b4A&#10;AADbAAAADwAAAGRycy9kb3ducmV2LnhtbERPTYvCMBC9L/gfwgjeNFVhsV2jLILgTawKHodmbLvb&#10;TGoS2/rvzWFhj4/3vd4OphEdOV9bVjCfJSCIC6trLhVczvvpCoQPyBoby6TgRR62m9HHGjNtez5R&#10;l4dSxBD2GSqoQmgzKX1RkUE/sy1x5O7WGQwRulJqh30MN41cJMmnNFhzbKiwpV1FxW/+NAr4p6tv&#10;4ZofmZY2zXuXPop7qtRkPHx/gQg0hH/xn/ugFSzi+vgl/gC5e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skD9m+AAAA2wAAAA8AAAAAAAAAAAAAAAAAmAIAAGRycy9kb3ducmV2&#10;LnhtbFBLBQYAAAAABAAEAPUAAACDAwAAAAA=&#10;" path="m70,r70,70l70,139,,70,70,xe" filled="f" strokecolor="#3b4a1e" strokeweight=".7pt">
                  <v:path arrowok="t" o:connecttype="custom" o:connectlocs="44450,0;88900,44450;44450,88265;0,44450;44450,0" o:connectangles="0,0,0,0,0"/>
                </v:shape>
                <v:shape id="Freeform 17" o:spid="_x0000_s1046" style="position:absolute;left:20872;top:18986;width:883;height:883;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IJMEA&#10;AADbAAAADwAAAGRycy9kb3ducmV2LnhtbESPS4vCQBCE7wv+h6EFb+skgmGJjkEEwaNPlr01mc4D&#10;Mz0hMzHx3zuCsMeiqr6i1tloGvGgztWWFcTzCARxbnXNpYLrZf/9A8J5ZI2NZVLwJAfZZvK1xlTb&#10;gU/0OPtSBAi7FBVU3replC6vyKCb25Y4eIXtDPogu1LqDocAN41cRFEiDdYcFipsaVdRfj/3RkFS&#10;9Hl/fBZ1/6tHv3R/+8uQ3JSaTcftCoSn0f+HP+2DVrCI4f0l/AC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bCCTBAAAA2wAAAA8AAAAAAAAAAAAAAAAAmAIAAGRycy9kb3du&#10;cmV2LnhtbFBLBQYAAAAABAAEAPUAAACGAwAAAAA=&#10;" path="m70,r69,70l70,139,,70,70,xe" fillcolor="#3b4a1e" stroked="f">
                  <v:path arrowok="t" o:connecttype="custom" o:connectlocs="44450,0;88265,44450;44450,88265;0,44450;44450,0" o:connectangles="0,0,0,0,0"/>
                </v:shape>
                <v:shape id="Freeform 18" o:spid="_x0000_s1047" style="position:absolute;left:20872;top:18986;width:883;height:883;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U7sAA&#10;AADbAAAADwAAAGRycy9kb3ducmV2LnhtbESPT4vCMBTE7wv7HcITvK2JRUS6RlkXBG/iH9jrI3nb&#10;FJuX0sRav70RBI/DzPyGWa4H34ieulgH1jCdKBDEJtiaKw3n0/ZrASImZItNYNJwpwjr1efHEksb&#10;bnyg/pgqkSEcS9TgUmpLKaNx5DFOQkucvf/QeUxZdpW0Hd4y3DeyUGouPdacFxy29OvIXI5Xr6E3&#10;Cztzuz9jm8tmqu5WHpTZaz0eDT/fIBIN6R1+tXdWQ1HA80v+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yU7sAAAADbAAAADwAAAAAAAAAAAAAAAACYAgAAZHJzL2Rvd25y&#10;ZXYueG1sUEsFBgAAAAAEAAQA9QAAAIUDAAAAAA==&#10;" path="m70,r69,70l70,139,,70,70,xe" filled="f" strokecolor="#3b4a1e" strokeweight=".7pt">
                  <v:path arrowok="t" o:connecttype="custom" o:connectlocs="44450,0;88265,44450;44450,88265;0,44450;44450,0" o:connectangles="0,0,0,0,0"/>
                </v:shape>
                <v:shape id="Freeform 19" o:spid="_x0000_s1048" style="position:absolute;left:25171;top:18440;width:883;height:883;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zyMAA&#10;AADbAAAADwAAAGRycy9kb3ducmV2LnhtbESPS6vCMBSE94L/IRzBnaZXsUivUS6C4NIn4u7QnD64&#10;zUlpUlv/vREEl8PMfMOsNr2pxIMaV1pW8DONQBCnVpecK7icd5MlCOeRNVaWScGTHGzWw8EKE207&#10;PtLj5HMRIOwSVFB4XydSurQgg25qa+LgZbYx6INscqkb7ALcVHIWRbE0WHJYKLCmbUHp/6k1CuKs&#10;TdvDMyvbm+79wt135y6+KjUe9X+/IDz1/hv+tPdawWwO7y/h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UzyMAAAADbAAAADwAAAAAAAAAAAAAAAACYAgAAZHJzL2Rvd25y&#10;ZXYueG1sUEsFBgAAAAAEAAQA9QAAAIUDAAAAAA==&#10;" path="m70,r69,70l70,139,,70,70,xe" fillcolor="#3b4a1e" stroked="f">
                  <v:path arrowok="t" o:connecttype="custom" o:connectlocs="44450,0;88265,44450;44450,88265;0,44450;44450,0" o:connectangles="0,0,0,0,0"/>
                </v:shape>
                <v:shape id="Freeform 20" o:spid="_x0000_s1049" style="position:absolute;left:25171;top:18440;width:883;height:883;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pAcAA&#10;AADbAAAADwAAAGRycy9kb3ducmV2LnhtbESPzYoCMRCE74LvEFrwpokii4xGUWHBm/gDXpuknQxO&#10;OsMkjuPbbxYW9lhU1VfUetv7WnTUxiqwhtlUgSA2wVZcarhdvydLEDEhW6wDk4YPRdhuhoM1Fja8&#10;+UzdJZUiQzgWqMGl1BRSRuPIY5yGhjh7j9B6TFm2pbQtvjPc13Ku1Jf0WHFecNjQwZF5Xl5eQ2eW&#10;duGOd2Pr536mPlaelTlpPR71uxWIRH36D/+1j1bDfAG/X/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mpAcAAAADbAAAADwAAAAAAAAAAAAAAAACYAgAAZHJzL2Rvd25y&#10;ZXYueG1sUEsFBgAAAAAEAAQA9QAAAIUDAAAAAA==&#10;" path="m70,r69,70l70,139,,70,70,xe" filled="f" strokecolor="#3b4a1e" strokeweight=".7pt">
                  <v:path arrowok="t" o:connecttype="custom" o:connectlocs="44450,0;88265,44450;44450,88265;0,44450;44450,0" o:connectangles="0,0,0,0,0"/>
                </v:shape>
                <v:shape id="Freeform 21" o:spid="_x0000_s1050" style="position:absolute;left:29451;top:19335;width:882;height:883;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OJ8IA&#10;AADbAAAADwAAAGRycy9kb3ducmV2LnhtbESPS2vDMBCE74X+B7GB3mI5AZvgWg6lEOixzYOQ22Kt&#10;H9RaGUuO7X9fBQI9DjPzDZPvZ9OJOw2utaxgE8UgiEurW64VnE+H9Q6E88gaO8ukYCEH++L1JcdM&#10;24l/6H70tQgQdhkqaLzvMyld2ZBBF9meOHiVHQz6IIda6gGnADed3MZxKg22HBYa7OmzofL3OBoF&#10;aTWW4/dSteNVzz5xt8NpSi9Kva3mj3cQnmb/H362v7SCbQKPL+EH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YA4nwgAAANsAAAAPAAAAAAAAAAAAAAAAAJgCAABkcnMvZG93&#10;bnJldi54bWxQSwUGAAAAAAQABAD1AAAAhwMAAAAA&#10;" path="m70,r69,70l70,139,,70,70,xe" fillcolor="#3b4a1e" stroked="f">
                  <v:path arrowok="t" o:connecttype="custom" o:connectlocs="44450,0;88265,44450;44450,88265;0,44450;44450,0" o:connectangles="0,0,0,0,0"/>
                </v:shape>
                <v:shape id="Freeform 22" o:spid="_x0000_s1051" style="position:absolute;left:29451;top:19335;width:882;height:883;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S7b8A&#10;AADbAAAADwAAAGRycy9kb3ducmV2LnhtbESPQYvCMBSE7wv+h/CEva2JIiLVKCoI3kR3wesjeTbF&#10;5qU0sdZ/bxYEj8PMfMMs172vRUdtrAJrGI8UCGITbMWlhr/f/c8cREzIFuvApOFJEdarwdcSCxse&#10;fKLunEqRIRwL1OBSagopo3HkMY5CQ5y9a2g9pizbUtoWHxnuazlRaiY9VpwXHDa0c2Ru57vX0Jm5&#10;nbrDxdj6th2rp5UnZY5afw/7zQJEoj59wu/2wWqYzOD/S/4B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5LtvwAAANsAAAAPAAAAAAAAAAAAAAAAAJgCAABkcnMvZG93bnJl&#10;di54bWxQSwUGAAAAAAQABAD1AAAAhAMAAAAA&#10;" path="m70,r69,70l70,139,,70,70,xe" filled="f" strokecolor="#3b4a1e" strokeweight=".7pt">
                  <v:path arrowok="t" o:connecttype="custom" o:connectlocs="44450,0;88265,44450;44450,88265;0,44450;44450,0" o:connectangles="0,0,0,0,0"/>
                </v:shape>
                <v:shape id="Freeform 23" o:spid="_x0000_s1052" style="position:absolute;left:33750;top:18694;width:882;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ocMQA&#10;AADbAAAADwAAAGRycy9kb3ducmV2LnhtbESPzW7CMBCE70h9B2sr9QYOOVAUMAgQoF5aiZ8HWMVL&#10;HCVeh9gkoU9fV6rU42hmvtEs14OtRUetLx0rmE4SEMS50yUXCq6Xw3gOwgdkjbVjUvAkD+vVy2iJ&#10;mXY9n6g7h0JECPsMFZgQmkxKnxuy6CeuIY7ezbUWQ5RtIXWLfYTbWqZJMpMWS44LBhvaGcqr88Mq&#10;6Kuv6vbsjoc0mT32n9234ft2q9Tb67BZgAg0hP/wX/tDK0jf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WaHDEAAAA2wAAAA8AAAAAAAAAAAAAAAAAmAIAAGRycy9k&#10;b3ducmV2LnhtbFBLBQYAAAAABAAEAPUAAACJAwAAAAA=&#10;" path="m70,r69,71l70,140,,71,70,xe" fillcolor="#3b4a1e" stroked="f">
                  <v:path arrowok="t" o:connecttype="custom" o:connectlocs="44450,0;88265,45085;44450,88900;0,45085;44450,0" o:connectangles="0,0,0,0,0"/>
                </v:shape>
                <v:shape id="Freeform 24" o:spid="_x0000_s1053" style="position:absolute;left:33750;top:18694;width:882;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O8AA&#10;AADbAAAADwAAAGRycy9kb3ducmV2LnhtbERPy4rCMBTdD/gP4QruxtQKg3SMZRCFunHwAW4vzZ22&#10;THNTktjWvzcLweXhvNf5aFrRk/ONZQWLeQKCuLS64UrB9bL/XIHwAVlja5kUPMhDvpl8rDHTduAT&#10;9edQiRjCPkMFdQhdJqUvazLo57YjjtyfdQZDhK6S2uEQw00r0yT5kgYbjg01drStqfw/342CLhnK&#10;+6HfXdztWAxF8duslu1Dqdl0/PkGEWgMb/HLXWgFaRwbv8Qf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tO8AAAADbAAAADwAAAAAAAAAAAAAAAACYAgAAZHJzL2Rvd25y&#10;ZXYueG1sUEsFBgAAAAAEAAQA9QAAAIUDAAAAAA==&#10;" path="m70,r69,71l70,140,,71,70,xe" filled="f" strokecolor="#3b4a1e" strokeweight=".7pt">
                  <v:path arrowok="t" o:connecttype="custom" o:connectlocs="44450,0;88265,45085;44450,88900;0,45085;44450,0" o:connectangles="0,0,0,0,0"/>
                </v:shape>
                <v:shape id="Freeform 25" o:spid="_x0000_s1054" style="position:absolute;left:38049;top:18694;width:882;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ZmcQA&#10;AADbAAAADwAAAGRycy9kb3ducmV2LnhtbESPzW7CMBCE70h9B2sr9QYOOaASMAgQoF5aiZ8HWMVL&#10;HCVeh9gkoU9fV6rU42hmvtEs14OtRUetLx0rmE4SEMS50yUXCq6Xw/gdhA/IGmvHpOBJHtarl9ES&#10;M+16PlF3DoWIEPYZKjAhNJmUPjdk0U9cQxy9m2sthijbQuoW+wi3tUyTZCYtlhwXDDa0M5RX54dV&#10;0Fdf1e3ZHQ9pMnvsP7tvw/ftVqm312GzABFoCP/hv/aHVpDO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FWZnEAAAA2wAAAA8AAAAAAAAAAAAAAAAAmAIAAGRycy9k&#10;b3ducmV2LnhtbFBLBQYAAAAABAAEAPUAAACJAwAAAAA=&#10;" path="m70,r69,71l70,140,,71,70,xe" fillcolor="#3b4a1e" stroked="f">
                  <v:path arrowok="t" o:connecttype="custom" o:connectlocs="44450,0;88265,45085;44450,88900;0,45085;44450,0" o:connectangles="0,0,0,0,0"/>
                </v:shape>
                <v:shape id="Freeform 26" o:spid="_x0000_s1055" style="position:absolute;left:38049;top:18694;width:882;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4MAA&#10;AADbAAAADwAAAGRycy9kb3ducmV2LnhtbERPyWrDMBC9F/oPYgq91XJqKMGJYkJIwL20NC70OlgT&#10;28QaGUne/r46FHp8vH1fLKYXEznfWVawSVIQxLXVHTcKvqvLyxaED8gae8ukYCUPxeHxYY+5tjN/&#10;0XQNjYgh7HNU0IYw5FL6uiWDPrEDceRu1hkMEbpGaodzDDe9fE3TN2mw49jQ4kCnlur7dTQKhnSu&#10;x/fpXLmfj3Iuy89um/WrUs9Py3EHItAS/sV/7lIryOL6+CX+AH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34MAAAADbAAAADwAAAAAAAAAAAAAAAACYAgAAZHJzL2Rvd25y&#10;ZXYueG1sUEsFBgAAAAAEAAQA9QAAAIUDAAAAAA==&#10;" path="m70,r69,71l70,140,,71,70,xe" filled="f" strokecolor="#3b4a1e" strokeweight=".7pt">
                  <v:path arrowok="t" o:connecttype="custom" o:connectlocs="44450,0;88265,45085;44450,88900;0,45085;44450,0" o:connectangles="0,0,0,0,0"/>
                </v:shape>
                <v:shape id="Freeform 27" o:spid="_x0000_s1056" style="position:absolute;left:42329;top:18072;width:882;height:882;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e+cMA&#10;AADbAAAADwAAAGRycy9kb3ducmV2LnhtbESPT2vCQBTE7wW/w/IKvdVNFIOkrlKEgEebWIq3R/bl&#10;D82+DdmNid++WxA8DjPzG2Z3mE0nbjS41rKCeBmBIC6tbrlWcCmy9y0I55E1dpZJwZ0cHPaLlx2m&#10;2k78Rbfc1yJA2KWooPG+T6V0ZUMG3dL2xMGr7GDQBznUUg84Bbjp5CqKEmmw5bDQYE/HhsrffDQK&#10;kmosx/O9ascfPfuNu2bFlHwr9fY6f36A8DT7Z/jRPmkF6xj+v4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Ke+cMAAADbAAAADwAAAAAAAAAAAAAAAACYAgAAZHJzL2Rv&#10;d25yZXYueG1sUEsFBgAAAAAEAAQA9QAAAIgDAAAAAA==&#10;" path="m70,r69,70l70,139,,70,70,xe" fillcolor="#3b4a1e" stroked="f">
                  <v:path arrowok="t" o:connecttype="custom" o:connectlocs="44450,0;88265,44450;44450,88265;0,44450;44450,0" o:connectangles="0,0,0,0,0"/>
                </v:shape>
                <v:shape id="Freeform 28" o:spid="_x0000_s1057" style="position:absolute;left:42329;top:18072;width:882;height:882;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CM8AA&#10;AADbAAAADwAAAGRycy9kb3ducmV2LnhtbESPQWsCMRSE70L/Q3gFb5qopchqFCsI3kQreH0kz83i&#10;5mXZpOv6740g9DjMzDfMct37WnTUxiqwhslYgSA2wVZcajj/7kZzEDEhW6wDk4YHRVivPgZLLGy4&#10;85G6UypFhnAsUINLqSmkjMaRxzgODXH2rqH1mLJsS2lbvGe4r+VUqW/pseK84LChrSNzO/15DZ2Z&#10;2y+3vxhb334m6mHlUZmD1sPPfrMAkahP/+F3e281zKbw+p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UCM8AAAADbAAAADwAAAAAAAAAAAAAAAACYAgAAZHJzL2Rvd25y&#10;ZXYueG1sUEsFBgAAAAAEAAQA9QAAAIUDAAAAAA==&#10;" path="m70,r69,70l70,139,,70,70,xe" filled="f" strokecolor="#3b4a1e" strokeweight=".7pt">
                  <v:path arrowok="t" o:connecttype="custom" o:connectlocs="44450,0;88265,44450;44450,88265;0,44450;44450,0" o:connectangles="0,0,0,0,0"/>
                </v:shape>
                <v:shape id="Freeform 29" o:spid="_x0000_s1058" style="position:absolute;left:46628;top:19050;width:882;height:882;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lFcEA&#10;AADbAAAADwAAAGRycy9kb3ducmV2LnhtbESPS6vCMBSE9xf8D+EI7q6pikWqUUQQXPq6XNwdmtMH&#10;NielSW3990YQXA4z8w2z2vSmEg9qXGlZwWQcgSBOrS45V3C97H8XIJxH1lhZJgVPcrBZD35WmGjb&#10;8YkeZ5+LAGGXoILC+zqR0qUFGXRjWxMHL7ONQR9kk0vdYBfgppLTKIqlwZLDQoE17QpK7+fWKIiz&#10;Nm2Pz6xs/3Xv5+62v3Txn1KjYb9dgvDU+2/40z5oBbMZ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cpRXBAAAA2wAAAA8AAAAAAAAAAAAAAAAAmAIAAGRycy9kb3du&#10;cmV2LnhtbFBLBQYAAAAABAAEAPUAAACGAwAAAAA=&#10;" path="m70,r69,70l70,139,,70,70,xe" fillcolor="#3b4a1e" stroked="f">
                  <v:path arrowok="t" o:connecttype="custom" o:connectlocs="44450,0;88265,44450;44450,88265;0,44450;44450,0" o:connectangles="0,0,0,0,0"/>
                </v:shape>
                <v:shape id="Freeform 30" o:spid="_x0000_s1059" style="position:absolute;left:46628;top:19050;width:882;height:882;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3MAA&#10;AADbAAAADwAAAGRycy9kb3ducmV2LnhtbESPQWsCMRSE74L/ITyhN02sUmQ1ihYEb0UreH0kz83i&#10;5mXZxHX9901B8DjMzDfMatP7WnTUxiqwhulEgSA2wVZcajj/7scLEDEhW6wDk4YnRdish4MVFjY8&#10;+EjdKZUiQzgWqMGl1BRSRuPIY5yEhjh719B6TFm2pbQtPjLc1/JTqS/pseK84LChb0fmdrp7DZ1Z&#10;2Lk7XIytb7upelp5VOZH649Rv12CSNSnd/jVPlgNszn8f8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A/3MAAAADbAAAADwAAAAAAAAAAAAAAAACYAgAAZHJzL2Rvd25y&#10;ZXYueG1sUEsFBgAAAAAEAAQA9QAAAIUDAAAAAA==&#10;" path="m70,r69,70l70,139,,70,70,xe" filled="f" strokecolor="#3b4a1e" strokeweight=".7pt">
                  <v:path arrowok="t" o:connecttype="custom" o:connectlocs="44450,0;88265,44450;44450,88265;0,44450;44450,0" o:connectangles="0,0,0,0,0"/>
                </v:shape>
                <v:shape id="Freeform 31" o:spid="_x0000_s1060" style="position:absolute;left:12604;top:5956;width:34614;height:3505;visibility:visible;mso-wrap-style:square;v-text-anchor:top" coordsize="18171,1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byjsQA&#10;AADbAAAADwAAAGRycy9kb3ducmV2LnhtbESPT2vCQBTE7wW/w/IEL6KbWiMSXcVqBW/FP4jHZ/aZ&#10;BLNvQ3Y16bfvFoQeh5n5DTNftqYUT6pdYVnB+zACQZxaXXCm4HTcDqYgnEfWWFomBT/kYLnovM0x&#10;0bbhPT0PPhMBwi5BBbn3VSKlS3My6Ia2Ig7ezdYGfZB1JnWNTYCbUo6iaCINFhwWcqxonVN6PzyM&#10;gnN8cV99vXHxrhl/XvuUjb9HK6V63XY1A+Gp9f/hV3unFXzE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8o7EAAAA2wAAAA8AAAAAAAAAAAAAAAAAmAIAAGRycy9k&#10;b3ducmV2LnhtbFBLBQYAAAAABAAEAPUAAACJAwAAAAA=&#10;" path="m88,1366r2248,328l2315,1694,4571,1366,6819,1038,9075,718v7,-1,15,-1,22,l11353,1070r-23,l13578,718,15834,358,18082,6v40,-6,76,21,83,60c18171,106,18144,142,18105,149l15857,501,13601,861r-2248,352c11345,1214,11338,1214,11330,1213l9074,861r22,l6840,1181,4592,1509,2336,1837v-7,1,-14,1,-21,l67,1509c28,1503,,1466,6,1427v6,-39,43,-67,82,-61xe" fillcolor="#825b32" strokecolor="#825b32" strokeweight=".1pt">
                  <v:stroke joinstyle="bevel"/>
                  <v:path arrowok="t" o:connecttype="custom" o:connectlocs="16763,260506;444984,323058;440983,323058;870728,260506;1298948,197954;1728692,136928;1732883,136928;2162627,204057;2158246,204057;2586467,136928;3016211,68273;3444431,1144;3460242,12587;3448813,28415;3020592,95544;2590848,164199;2162627,231328;2158246,231328;1728502,164199;1732693,164199;1302948,225225;874728,287777;444984,350329;440983,350329;12763,287777;1143,272139;16763,260506" o:connectangles="0,0,0,0,0,0,0,0,0,0,0,0,0,0,0,0,0,0,0,0,0,0,0,0,0,0,0"/>
                </v:shape>
                <v:rect id="Rectangle 32" o:spid="_x0000_s1061" style="position:absolute;left:12293;top:8255;width:883;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8MIA&#10;AADbAAAADwAAAGRycy9kb3ducmV2LnhtbESP3YrCMBSE7xd8h3AE79ZUBbdUo4iiLniz/jzAoTm2&#10;1eakJNHWt98IC3s5zMw3zHzZmVo8yfnKsoLRMAFBnFtdcaHgct5+piB8QNZYWyYFL/KwXPQ+5php&#10;2/KRnqdQiAhhn6GCMoQmk9LnJRn0Q9sQR+9qncEQpSukdthGuKnlOEmm0mDFcaHEhtYl5ffTwygo&#10;trfwYw73r6ZN/GO08bt073ZKDfrdagYiUBf+w3/tb61gMoX3l/g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b/wwgAAANsAAAAPAAAAAAAAAAAAAAAAAJgCAABkcnMvZG93&#10;bnJldi54bWxQSwUGAAAAAAQABAD1AAAAhwMAAAAA&#10;" fillcolor="#fabe00" stroked="f"/>
                <v:rect id="Rectangle 33" o:spid="_x0000_s1062" style="position:absolute;left:12293;top:8255;width:883;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uP8IA&#10;AADbAAAADwAAAGRycy9kb3ducmV2LnhtbESP3WoCMRCF7wt9hzCF3tWsFlRWo0hpoYUKuvoAw2bc&#10;LLuZhCTV9e0bQfDycH4+znI92F6cKcTWsYLxqABBXDvdcqPgePh6m4OICVlj75gUXCnCevX8tMRS&#10;uwvv6VylRuQRjiUqMCn5UspYG7IYR84TZ+/kgsWUZWikDnjJ47aXk6KYSostZ4JBTx+G6q76sxmy&#10;8363n4RN91O10+3MfP66a6fU68uwWYBINKRH+N7+1greZ3D7k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i4/wgAAANsAAAAPAAAAAAAAAAAAAAAAAJgCAABkcnMvZG93&#10;bnJldi54bWxQSwUGAAAAAAQABAD1AAAAhwMAAAAA&#10;" filled="f" strokecolor="#fabe00" strokeweight=".7pt">
                  <v:stroke joinstyle="round"/>
                </v:rect>
                <v:rect id="Rectangle 34" o:spid="_x0000_s1063" style="position:absolute;left:16586;top:8877;width:889;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OGb8A&#10;AADbAAAADwAAAGRycy9kb3ducmV2LnhtbERPzYrCMBC+L/gOYYS9rakuqFSjiFIV9uK6PsDQjG21&#10;mZQktfXtzUHY48f3v1z3phYPcr6yrGA8SkAQ51ZXXCi4/GVfcxA+IGusLZOCJ3lYrwYfS0y17fiX&#10;HudQiBjCPkUFZQhNKqXPSzLoR7YhjtzVOoMhQldI7bCL4aaWkySZSoMVx4YSG9qWlN/PrVFQZLdw&#10;Mj/3WdMlvh3v/H5+cHulPof9ZgEiUB/+xW/3USv4jm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8o4ZvwAAANsAAAAPAAAAAAAAAAAAAAAAAJgCAABkcnMvZG93bnJl&#10;di54bWxQSwUGAAAAAAQABAD1AAAAhAMAAAAA&#10;" fillcolor="#fabe00" stroked="f"/>
                <v:rect id="Rectangle 35" o:spid="_x0000_s1064" style="position:absolute;left:16586;top:8877;width:889;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1sMA&#10;AADbAAAADwAAAGRycy9kb3ducmV2LnhtbESP3WoCMRCF74W+Q5iCd5qtBa1bo0hpQaGCbn2AYTPd&#10;LLuZhCTV9e1NodDLw/n5OKvNYHtxoRBbxwqepgUI4trplhsF56+PyQuImJA19o5JwY0ibNYPoxWW&#10;2l35RJcqNSKPcCxRgUnJl1LG2pDFOHWeOHvfLlhMWYZG6oDXPG57OSuKubTYciYY9PRmqO6qH5sh&#10;R++Pp1nYdvuqnR8W5v3T3Tqlxo/D9hVEoiH9h//aO63geQm/X/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f1sMAAADbAAAADwAAAAAAAAAAAAAAAACYAgAAZHJzL2Rv&#10;d25yZXYueG1sUEsFBgAAAAAEAAQA9QAAAIgDAAAAAA==&#10;" filled="f" strokecolor="#fabe00" strokeweight=".7pt">
                  <v:stroke joinstyle="round"/>
                </v:rect>
                <v:rect id="Rectangle 36" o:spid="_x0000_s1065" style="position:absolute;left:20872;top:8255;width:883;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xYr8A&#10;AADbAAAADwAAAGRycy9kb3ducmV2LnhtbERPzYrCMBC+L/gOYYS9ramyqFSjiFIV9uK6PsDQjG21&#10;mZQktfXtzUHY48f3v1z3phYPcr6yrGA8SkAQ51ZXXCi4/GVfcxA+IGusLZOCJ3lYrwYfS0y17fiX&#10;HudQiBjCPkUFZQhNKqXPSzLoR7YhjtzVOoMhQldI7bCL4aaWkySZSoMVx4YSG9qWlN/PrVFQZLdw&#10;Mj/3WdMlvh3v/H5+cHulPof9ZgEiUB/+xW/3USv4juv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vFivwAAANsAAAAPAAAAAAAAAAAAAAAAAJgCAABkcnMvZG93bnJl&#10;di54bWxQSwUGAAAAAAQABAD1AAAAhAMAAAAA&#10;" fillcolor="#fabe00" stroked="f"/>
                <v:rect id="Rectangle 37" o:spid="_x0000_s1066" style="position:absolute;left:20872;top:8255;width:883;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bQcMA&#10;AADbAAAADwAAAGRycy9kb3ducmV2LnhtbESP3WoCMRCF74W+Q5iCd5qtLVa2RpHSgkIF3foAw2a6&#10;WXYzCUmq69ubQsHLw/n5OMv1YHtxphBbxwqepgUI4trplhsFp+/PyQJETMgae8ek4EoR1quH0RJL&#10;7S58pHOVGpFHOJaowKTkSyljbchinDpPnL0fFyymLEMjdcBLHre9nBXFXFpsORMMeno3VHfVr82Q&#10;g/eH4yxsul3Vzvev5uPLXTulxo/D5g1EoiHdw//trVbw8gx/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NbQcMAAADbAAAADwAAAAAAAAAAAAAAAACYAgAAZHJzL2Rv&#10;d25yZXYueG1sUEsFBgAAAAAEAAQA9QAAAIgDAAAAAA==&#10;" filled="f" strokecolor="#fabe00" strokeweight=".7pt">
                  <v:stroke joinstyle="round"/>
                </v:rect>
                <v:rect id="Rectangle 38" o:spid="_x0000_s1067" style="position:absolute;left:25171;top:7632;width:883;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3YcMA&#10;AADbAAAADwAAAGRycy9kb3ducmV2LnhtbESP0WrCQBRE3wv9h+UKvjUbJbQSXUUqxkJfavQDLtlr&#10;Es3eDburSf++Wyj0cZiZM8xqM5pOPMj51rKCWZKCIK6sbrlWcD7tXxYgfEDW2FkmBd/kYbN+flph&#10;ru3AR3qUoRYRwj5HBU0IfS6lrxoy6BPbE0fvYp3BEKWrpXY4RLjp5DxNX6XBluNCgz29N1TdyrtR&#10;UO+v4ct83t76IfX32c4Xi4MrlJpOxu0SRKAx/If/2h9aQZb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n3YcMAAADbAAAADwAAAAAAAAAAAAAAAACYAgAAZHJzL2Rv&#10;d25yZXYueG1sUEsFBgAAAAAEAAQA9QAAAIgDAAAAAA==&#10;" fillcolor="#fabe00" stroked="f"/>
                <v:rect id="Rectangle 39" o:spid="_x0000_s1068" style="position:absolute;left:25171;top:7632;width:883;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mrsMA&#10;AADbAAAADwAAAGRycy9kb3ducmV2LnhtbESP3WoCMRCF74W+Q5iCd5qttFa2RpHSgkIF3foAw2a6&#10;WXYzCUmq69ubQsHLw/n5OMv1YHtxphBbxwqepgUI4trplhsFp+/PyQJETMgae8ek4EoR1quH0RJL&#10;7S58pHOVGpFHOJaowKTkSyljbchinDpPnL0fFyymLEMjdcBLHre9nBXFXFpsORMMeno3VHfVr82Q&#10;g/eH4yxsul3Vzvev5uPLXTulxo/D5g1EoiHdw//trVbw/AJ/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ZmrsMAAADbAAAADwAAAAAAAAAAAAAAAACYAgAAZHJzL2Rv&#10;d25yZXYueG1sUEsFBgAAAAAEAAQA9QAAAIgDAAAAAA==&#10;" filled="f" strokecolor="#fabe00" strokeweight=".7pt">
                  <v:stroke joinstyle="round"/>
                </v:rect>
                <v:rect id="Rectangle 40" o:spid="_x0000_s1069" style="position:absolute;left:29451;top:7004;width:882;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MjcIA&#10;AADbAAAADwAAAGRycy9kb3ducmV2LnhtbESP3YrCMBSE7xd8h3AE79ZUEbdUo4iiLniz/jzAoTm2&#10;1eakJNHWt98IC3s5zMw3zHzZmVo8yfnKsoLRMAFBnFtdcaHgct5+piB8QNZYWyYFL/KwXPQ+5php&#10;2/KRnqdQiAhhn6GCMoQmk9LnJRn0Q9sQR+9qncEQpSukdthGuKnlOEmm0mDFcaHEhtYl5ffTwygo&#10;trfwYw73r6ZN/GO08bt073ZKDfrdagYiUBf+w3/tb61gMoX3l/g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8yNwgAAANsAAAAPAAAAAAAAAAAAAAAAAJgCAABkcnMvZG93&#10;bnJldi54bWxQSwUGAAAAAAQABAD1AAAAhwMAAAAA&#10;" fillcolor="#fabe00" stroked="f"/>
                <v:rect id="_x0000_s1070" style="position:absolute;left:29451;top:7004;width:882;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dQsIA&#10;AADbAAAADwAAAGRycy9kb3ducmV2LnhtbESP3WoCMRCF7wt9hzCF3tWsUlRWo0hpoYUKuvoAw2bc&#10;LLuZhCTV9e0bQfDycH4+znI92F6cKcTWsYLxqABBXDvdcqPgePh6m4OICVlj75gUXCnCevX8tMRS&#10;uwvv6VylRuQRjiUqMCn5UspYG7IYR84TZ+/kgsWUZWikDnjJ47aXk6KYSostZ4JBTx+G6q76sxmy&#10;8363n4RN91O10+3MfP66a6fU68uwWYBINKRH+N7+1greZ3D7k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F1CwgAAANsAAAAPAAAAAAAAAAAAAAAAAJgCAABkcnMvZG93&#10;bnJldi54bWxQSwUGAAAAAAQABAD1AAAAhwMAAAAA&#10;" filled="f" strokecolor="#fabe00" strokeweight=".7pt">
                  <v:stroke joinstyle="round"/>
                </v:rect>
                <v:rect id="_x0000_s1071" style="position:absolute;left:33750;top:7677;width:882;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9ZL8A&#10;AADbAAAADwAAAGRycy9kb3ducmV2LnhtbERPzYrCMBC+L/gOYYS9ramyqFSjiFIV9uK6PsDQjG21&#10;mZQktfXtzUHY48f3v1z3phYPcr6yrGA8SkAQ51ZXXCi4/GVfcxA+IGusLZOCJ3lYrwYfS0y17fiX&#10;HudQiBjCPkUFZQhNKqXPSzLoR7YhjtzVOoMhQldI7bCL4aaWkySZSoMVx4YSG9qWlN/PrVFQZLdw&#10;Mj/3WdMlvh3v/H5+cHulPof9ZgEiUB/+xW/3USv4jm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9P1kvwAAANsAAAAPAAAAAAAAAAAAAAAAAJgCAABkcnMvZG93bnJl&#10;di54bWxQSwUGAAAAAAQABAD1AAAAhAMAAAAA&#10;" fillcolor="#fabe00" stroked="f"/>
                <v:rect id="Rectangle 43" o:spid="_x0000_s1072" style="position:absolute;left:33750;top:7677;width:882;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q8MA&#10;AADbAAAADwAAAGRycy9kb3ducmV2LnhtbESP3WoCMRCF74W+Q5iCd5qtFK1bo0hpQaGCbn2AYTPd&#10;LLuZhCTV9e1NodDLw/n5OKvNYHtxoRBbxwqepgUI4trplhsF56+PyQuImJA19o5JwY0ibNYPoxWW&#10;2l35RJcqNSKPcCxRgUnJl1LG2pDFOHWeOHvfLlhMWYZG6oDXPG57OSuKubTYciYY9PRmqO6qH5sh&#10;R++Pp1nYdvuqnR8W5v3T3Tqlxo/D9hVEoiH9h//aO63geQm/X/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sq8MAAADbAAAADwAAAAAAAAAAAAAAAACYAgAAZHJzL2Rv&#10;d25yZXYueG1sUEsFBgAAAAAEAAQA9QAAAIgDAAAAAA==&#10;" filled="f" strokecolor="#fabe00" strokeweight=".7pt">
                  <v:stroke joinstyle="round"/>
                </v:rect>
                <v:rect id="Rectangle 44" o:spid="_x0000_s1073" style="position:absolute;left:38049;top:7004;width:882;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nv78A&#10;AADbAAAADwAAAGRycy9kb3ducmV2LnhtbERPzYrCMBC+L/gOYYS9ranCqlSjiFIV9uK6PsDQjG21&#10;mZQktfXtzUHY48f3v1z3phYPcr6yrGA8SkAQ51ZXXCi4/GVfcxA+IGusLZOCJ3lYrwYfS0y17fiX&#10;HudQiBjCPkUFZQhNKqXPSzLoR7YhjtzVOoMhQldI7bCL4aaWkySZSoMVx4YSG9qWlN/PrVFQZLdw&#10;Mj/3WdMlvh3v/H5+cHulPof9ZgEiUB/+xW/3USv4juv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W2e/vwAAANsAAAAPAAAAAAAAAAAAAAAAAJgCAABkcnMvZG93bnJl&#10;di54bWxQSwUGAAAAAAQABAD1AAAAhAMAAAAA&#10;" fillcolor="#fabe00" stroked="f"/>
                <v:rect id="Rectangle 45" o:spid="_x0000_s1074" style="position:absolute;left:38049;top:7004;width:882;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2cMIA&#10;AADbAAAADwAAAGRycy9kb3ducmV2LnhtbESP3WoCMRCF7wt9hzCCdzWroJWtUaRYaKGCrn2AYTNu&#10;lt1MQhJ1ffumIPTycH4+zmoz2F5cKcTWsYLppABBXDvdcqPg5/TxsgQRE7LG3jEpuFOEzfr5aYWl&#10;djc+0rVKjcgjHEtUYFLypZSxNmQxTpwnzt7ZBYspy9BIHfCWx20vZ0WxkBZbzgSDnt4N1V11sRly&#10;8P5wnIVt91W1i/2r2X27e6fUeDRs30AkGtJ/+NH+1ArmU/j7k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PZwwgAAANsAAAAPAAAAAAAAAAAAAAAAAJgCAABkcnMvZG93&#10;bnJldi54bWxQSwUGAAAAAAQABAD1AAAAhwMAAAAA&#10;" filled="f" strokecolor="#fabe00" strokeweight=".7pt">
                  <v:stroke joinstyle="round"/>
                </v:rect>
                <v:rect id="Rectangle 46" o:spid="_x0000_s1075" style="position:absolute;left:42329;top:6330;width:882;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VcU8IA&#10;AADbAAAADwAAAGRycy9kb3ducmV2LnhtbESP3YrCMBSE7wXfIRzBO00VVkvXKOLiD3jjuvsAh+Zs&#10;27U5KUm09e2NIHg5zMw3zGLVmVrcyPnKsoLJOAFBnFtdcaHg92c7SkH4gKyxtkwK7uRhtez3Fphp&#10;2/I33c6hEBHCPkMFZQhNJqXPSzLox7Yhjt6fdQZDlK6Q2mEb4aaW0ySZSYMVx4USG9qUlF/OV6Og&#10;2P6Hkzle5k2b+Ovky+/SvdspNRx0608QgbrwDr/aB63gYwr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VxTwgAAANsAAAAPAAAAAAAAAAAAAAAAAJgCAABkcnMvZG93&#10;bnJldi54bWxQSwUGAAAAAAQABAD1AAAAhwMAAAAA&#10;" fillcolor="#fabe00" stroked="f"/>
                <v:rect id="Rectangle 47" o:spid="_x0000_s1076" style="position:absolute;left:42329;top:6330;width:882;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rNnMMA&#10;AADbAAAADwAAAGRycy9kb3ducmV2LnhtbESP3WoCMRCF74W+Q5iCd5qtpVa2RpHSgkIF3foAw2a6&#10;WXYzCUmq69ubQsHLw/n5OMv1YHtxphBbxwqepgUI4trplhsFp+/PyQJETMgae8ek4EoR1quH0RJL&#10;7S58pHOVGpFHOJaowKTkSyljbchinDpPnL0fFyymLEMjdcBLHre9nBXFXFpsORMMeno3VHfVr82Q&#10;g/eH4yxsul3Vzvev5uPLXTulxo/D5g1EoiHdw//trVbw8gx/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rNnMMAAADbAAAADwAAAAAAAAAAAAAAAACYAgAAZHJzL2Rv&#10;d25yZXYueG1sUEsFBgAAAAAEAAQA9QAAAIgDAAAAAA==&#10;" filled="f" strokecolor="#fabe00" strokeweight=".7pt">
                  <v:stroke joinstyle="round"/>
                </v:rect>
                <v:rect id="Rectangle 48" o:spid="_x0000_s1077" style="position:absolute;left:46628;top:5664;width:882;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hvMQA&#10;AADbAAAADwAAAGRycy9kb3ducmV2LnhtbESP0WrCQBRE3wX/YblC33Rjaa2krkEspgVf1PYDLtnb&#10;JE32bthdk/TvuwXBx2FmzjCbbDSt6Mn52rKC5SIBQVxYXXOp4OvzMF+D8AFZY2uZFPySh2w7nWww&#10;1XbgM/WXUIoIYZ+igiqELpXSFxUZ9AvbEUfv2zqDIUpXSu1wiHDTysckWUmDNceFCjvaV1Q0l6tR&#10;UB5+wskcm5duSPx1+ebz9bvLlXqYjbtXEIHGcA/f2h9awfMT/H+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YbzEAAAA2wAAAA8AAAAAAAAAAAAAAAAAmAIAAGRycy9k&#10;b3ducmV2LnhtbFBLBQYAAAAABAAEAPUAAACJAwAAAAA=&#10;" fillcolor="#fabe00" stroked="f"/>
                <v:rect id="Rectangle 49" o:spid="_x0000_s1078" style="position:absolute;left:46628;top:5664;width:882;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wc8IA&#10;AADbAAAADwAAAGRycy9kb3ducmV2LnhtbESP3WoCMRCF7wt9hzCF3tWsglZWo0ip0EIFXX2AYTNu&#10;lt1MQhJ1ffumIPTycH4+znI92F5cKcTWsYLxqABBXDvdcqPgdNy+zUHEhKyxd0wK7hRhvXp+WmKp&#10;3Y0PdK1SI/IIxxIVmJR8KWWsDVmMI+eJs3d2wWLKMjRSB7zlcdvLSVHMpMWWM8Ggpw9DdVddbIbs&#10;vd8fJmHTfVftbPduPn/cvVPq9WXYLEAkGtJ/+NH+0gqmU/j7kn+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BzwgAAANsAAAAPAAAAAAAAAAAAAAAAAJgCAABkcnMvZG93&#10;bnJldi54bWxQSwUGAAAAAAQABAD1AAAAhwMAAAAA&#10;" filled="f" strokecolor="#fabe00" strokeweight=".7pt">
                  <v:stroke joinstyle="round"/>
                </v:rect>
                <v:shape id="Freeform 50" o:spid="_x0000_s1079" style="position:absolute;left:12611;top:20751;width:34607;height:1175;visibility:visible;mso-wrap-style:square;v-text-anchor:top" coordsize="1816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HrsUA&#10;AADbAAAADwAAAGRycy9kb3ducmV2LnhtbESPT2vCQBTE7wW/w/KE3upGoaFEVxG1UEov/kE9PrLP&#10;JJp9u2TXGPvpu0LB4zAzv2Ems87UoqXGV5YVDAcJCOLc6ooLBbvt59sHCB+QNdaWScGdPMymvZcJ&#10;ZtreeE3tJhQiQthnqKAMwWVS+rwkg35gHXH0TrYxGKJsCqkbvEW4qeUoSVJpsOK4UKKjRUn5ZXM1&#10;Cg7b5fl81K6+X127Sn/2y+P++1ep1343H4MI1IVn+L/9pRW8p/D4En+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QeuxQAAANsAAAAPAAAAAAAAAAAAAAAAAJgCAABkcnMv&#10;ZG93bnJldi54bWxQSwUGAAAAAAQABAD1AAAAigMAAAAA&#10;" path="m74,416r2248,56l4569,233,6819,57v5,-1,10,-1,16,l9091,377r2247,55l13577,193,15834,1v6,-1,11,-1,17,l18099,329v39,6,66,43,61,82c18154,450,18117,477,18078,472l15830,144r17,l13592,336,11335,576,9070,520,6814,200r16,l4584,376,2319,616,71,560c31,559,,526,,487,1,447,35,416,74,416xe" fillcolor="#c3d69b" strokecolor="#c3d69b" strokeweight=".1pt">
                  <v:stroke joinstyle="bevel"/>
                  <v:path arrowok="t" o:connecttype="custom" o:connectlocs="14098,79334;442382,90013;870474,44435;1299139,10870;1302187,10870;1731994,71896;2160087,82385;2586656,36806;3016654,191;3019893,191;3448176,62742;3459797,78380;3444175,90013;3015892,27462;3019130,27462;2589514,64077;2159516,109847;1727994,99167;1298186,38141;1301234,38141;873332,71706;441810,117475;13527,106795;0,92874;14098,79334" o:connectangles="0,0,0,0,0,0,0,0,0,0,0,0,0,0,0,0,0,0,0,0,0,0,0,0,0"/>
                </v:shape>
                <v:shape id="Freeform 51" o:spid="_x0000_s1080" style="position:absolute;left:12293;top:21228;width:883;height:882;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t28UA&#10;AADbAAAADwAAAGRycy9kb3ducmV2LnhtbESPQWvCQBSE74L/YXlCb7qxkEaiq0hpodBCMRbB2yP7&#10;TKK7b0N2m6T/vlsQehxm5htmsxutET11vnGsYLlIQBCXTjdcKfg6vs5XIHxA1mgck4If8rDbTicb&#10;zLUb+EB9ESoRIexzVFCH0OZS+rImi37hWuLoXVxnMUTZVVJ3OES4NfIxSZ6kxYbjQo0tPddU3opv&#10;q4BW2cfw7pbp8WQGc23PN918vij1MBv3axCBxvAfvrfftII0g7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S3bxQAAANsAAAAPAAAAAAAAAAAAAAAAAJgCAABkcnMv&#10;ZG93bnJldi54bWxQSwUGAAAAAAQABAD1AAAAigMAAAAA&#10;" path="m70,r69,139l,139,70,xe" fillcolor="#9bbb59" stroked="f">
                  <v:path arrowok="t" o:connecttype="custom" o:connectlocs="44450,0;88265,88265;0,88265;44450,0" o:connectangles="0,0,0,0"/>
                </v:shape>
                <v:shape id="Freeform 52" o:spid="_x0000_s1081" style="position:absolute;left:12293;top:21228;width:883;height:882;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J3b8A&#10;AADbAAAADwAAAGRycy9kb3ducmV2LnhtbERPTYvCMBC9L/gfwgje1lRBkWoUEYVeFKyCeBubsa02&#10;k9LEWv+9OSzs8fG+F6vOVKKlxpWWFYyGEQjizOqScwXn0+53BsJ5ZI2VZVLwIQerZe9ngbG2bz5S&#10;m/pchBB2MSoovK9jKV1WkEE3tDVx4O62MegDbHKpG3yHcFPJcRRNpcGSQ0OBNW0Kyp7pyyjYTx/X&#10;y7o9JK/L7cYy3drnfpwoNeh36zkIT53/F/+5E61gEsaGL+EHyO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QMndvwAAANsAAAAPAAAAAAAAAAAAAAAAAJgCAABkcnMvZG93bnJl&#10;di54bWxQSwUGAAAAAAQABAD1AAAAhAMAAAAA&#10;" path="m70,r69,139l,139,70,xe" filled="f" strokecolor="#98b954" strokeweight=".7pt">
                  <v:path arrowok="t" o:connecttype="custom" o:connectlocs="44450,0;88265,88265;0,88265;44450,0" o:connectangles="0,0,0,0"/>
                </v:shape>
                <v:shape id="Freeform 53" o:spid="_x0000_s1082" style="position:absolute;left:16586;top:21348;width:889;height:883;visibility:visible;mso-wrap-style:square;v-text-anchor:top" coordsize="14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TQnMQA&#10;AADbAAAADwAAAGRycy9kb3ducmV2LnhtbESPQWvCQBSE7wX/w/IEb83GQESjq4ggFiyFWCn19sg+&#10;k2D2bchuY/rvu4LQ4zAz3zCrzWAa0VPnassKplEMgriwuuZSwflz/zoH4TyyxsYyKfglB5v16GWF&#10;mbZ3zqk/+VIECLsMFVTet5mUrqjIoItsSxy8q+0M+iC7UuoO7wFuGpnE8UwarDksVNjSrqLidvox&#10;CuRlZt8/vpJbqo/f9oB5Pt/tB6Um42G7BOFp8P/hZ/tNK0gX8Pg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E0JzEAAAA2wAAAA8AAAAAAAAAAAAAAAAAmAIAAGRycy9k&#10;b3ducmV2LnhtbFBLBQYAAAAABAAEAPUAAACJAwAAAAA=&#10;" path="m70,r70,139l,139,70,xe" fillcolor="#9bbb59" stroked="f">
                  <v:path arrowok="t" o:connecttype="custom" o:connectlocs="44450,0;88900,88265;0,88265;44450,0" o:connectangles="0,0,0,0"/>
                </v:shape>
                <v:shape id="Freeform 54" o:spid="_x0000_s1083" style="position:absolute;left:16586;top:21348;width:889;height:883;visibility:visible;mso-wrap-style:square;v-text-anchor:top" coordsize="14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Lbb0A&#10;AADbAAAADwAAAGRycy9kb3ducmV2LnhtbERPSwrCMBDdC94hjOBOU0VEqlFUEC248YO4HJuxLTaT&#10;0kSttzcLweXj/WeLxpTiRbUrLCsY9CMQxKnVBWcKzqdNbwLCeWSNpWVS8CEHi3m7NcNY2zcf6HX0&#10;mQgh7GJUkHtfxVK6NCeDrm8r4sDdbW3QB1hnUtf4DuGmlMMoGkuDBYeGHCta55Q+jk+j4Em366VM&#10;dLKSo1XK+yT5bJtKqW6nWU5BeGr8X/xz77SCcVgfvoQfIO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ZILbb0AAADbAAAADwAAAAAAAAAAAAAAAACYAgAAZHJzL2Rvd25yZXYu&#10;eG1sUEsFBgAAAAAEAAQA9QAAAIIDAAAAAA==&#10;" path="m70,r70,139l,139,70,xe" filled="f" strokecolor="#98b954" strokeweight=".7pt">
                  <v:path arrowok="t" o:connecttype="custom" o:connectlocs="44450,0;88900,88265;0,88265;44450,0" o:connectangles="0,0,0,0"/>
                </v:shape>
                <v:shape id="Freeform 55" o:spid="_x0000_s1084" style="position:absolute;left:20872;top:20891;width:883;height:883;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aicQA&#10;AADbAAAADwAAAGRycy9kb3ducmV2LnhtbESP3WrCQBSE7wt9h+UI3tVNCv4QXUVKBUFB1FLw7pA9&#10;JtHdsyG7mvj2bqHg5TAz3zCzRWeNuFPjK8cK0kECgjh3uuJCwc9x9TEB4QOyRuOYFDzIw2L+/jbD&#10;TLuW93Q/hEJECPsMFZQh1JmUPi/Joh+4mjh6Z9dYDFE2hdQNthFujfxMkpG0WHFcKLGmr5Ly6+Fm&#10;FdBkvG03Lh0ef01rLvXpqqvdt1L9XrecggjUhVf4v73WCkYp/H2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c2onEAAAA2wAAAA8AAAAAAAAAAAAAAAAAmAIAAGRycy9k&#10;b3ducmV2LnhtbFBLBQYAAAAABAAEAPUAAACJAwAAAAA=&#10;" path="m70,r69,139l,139,70,xe" fillcolor="#9bbb59" stroked="f">
                  <v:path arrowok="t" o:connecttype="custom" o:connectlocs="44450,0;88265,88265;0,88265;44450,0" o:connectangles="0,0,0,0"/>
                </v:shape>
                <v:shape id="Freeform 56" o:spid="_x0000_s1085" style="position:absolute;left:20872;top:20891;width:883;height:883;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0isMA&#10;AADbAAAADwAAAGRycy9kb3ducmV2LnhtbESPQYvCMBSE7wv+h/AEb2tqD2WpRhFR6EXB7oJ4ezbP&#10;ttq8lCbW+u/NwsIeh5n5hlmsBtOInjpXW1Ywm0YgiAuray4V/HzvPr9AOI+ssbFMCl7kYLUcfSww&#10;1fbJR+pzX4oAYZeigsr7NpXSFRUZdFPbEgfvajuDPsiulLrDZ4CbRsZRlEiDNYeFClvaVFTc84dR&#10;sE9u59O6P2SP0+XCMt/a+z7OlJqMh/UchKfB/4f/2plWkMTw+yX8AL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Q0isMAAADbAAAADwAAAAAAAAAAAAAAAACYAgAAZHJzL2Rv&#10;d25yZXYueG1sUEsFBgAAAAAEAAQA9QAAAIgDAAAAAA==&#10;" path="m70,r69,139l,139,70,xe" filled="f" strokecolor="#98b954" strokeweight=".7pt">
                  <v:path arrowok="t" o:connecttype="custom" o:connectlocs="44450,0;88265,88265;0,88265;44450,0" o:connectangles="0,0,0,0"/>
                </v:shape>
                <v:shape id="Freeform 57" o:spid="_x0000_s1086" style="position:absolute;left:25171;top:20542;width:883;height:882;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hZcQA&#10;AADbAAAADwAAAGRycy9kb3ducmV2LnhtbESP3WrCQBSE7wu+w3KE3ulGxR9SVxFRKLQgxlLo3SF7&#10;TKK7Z0N2a+LbdwWhl8PMfMMs15014kaNrxwrGA0TEMS50xUXCr5O+8EChA/IGo1jUnAnD+tV72WJ&#10;qXYtH+mWhUJECPsUFZQh1KmUPi/Joh+6mjh6Z9dYDFE2hdQNthFujRwnyUxarDgulFjTtqT8mv1a&#10;BbSYf7YfbjQ9fZvWXOqfq64OO6Ve+93mDUSgLvyHn+13rWA2gce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C4WXEAAAA2wAAAA8AAAAAAAAAAAAAAAAAmAIAAGRycy9k&#10;b3ducmV2LnhtbFBLBQYAAAAABAAEAPUAAACJAwAAAAA=&#10;" path="m70,r69,139l,139,70,xe" fillcolor="#9bbb59" stroked="f">
                  <v:path arrowok="t" o:connecttype="custom" o:connectlocs="44450,0;88265,88265;0,88265;44450,0" o:connectangles="0,0,0,0"/>
                </v:shape>
                <v:shape id="Freeform 58" o:spid="_x0000_s1087" style="position:absolute;left:25171;top:20542;width:883;height:882;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JZcMA&#10;AADbAAAADwAAAGRycy9kb3ducmV2LnhtbESPQYvCMBSE78L+h/AW9qbpihSpRhFZoRcXrIJ4ezbP&#10;ttq8lCbW7r/fCILHYWa+YebL3tSio9ZVlhV8jyIQxLnVFRcKDvvNcArCeWSNtWVS8EcOlouPwRwT&#10;bR+8oy7zhQgQdgkqKL1vEildXpJBN7INcfAutjXog2wLqVt8BLip5TiKYmmw4rBQYkPrkvJbdjcK&#10;tvH1dFx1v+n9eD6zzH7sbTtOlfr67FczEJ56/w6/2qlWEE/g+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EJZcMAAADbAAAADwAAAAAAAAAAAAAAAACYAgAAZHJzL2Rv&#10;d25yZXYueG1sUEsFBgAAAAAEAAQA9QAAAIgDAAAAAA==&#10;" path="m70,r69,139l,139,70,xe" filled="f" strokecolor="#98b954" strokeweight=".7pt">
                  <v:path arrowok="t" o:connecttype="custom" o:connectlocs="44450,0;88265,88265;0,88265;44450,0" o:connectangles="0,0,0,0"/>
                </v:shape>
                <v:shape id="Freeform 59" o:spid="_x0000_s1088" style="position:absolute;left:29451;top:21151;width:882;height:883;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cisMA&#10;AADbAAAADwAAAGRycy9kb3ducmV2LnhtbESPQYvCMBSE7wv+h/AEb2uqoCvVKCIKgsKyugjeHs2z&#10;rSYvpYm2/vuNIOxxmJlvmNmitUY8qPalYwWDfgKCOHO65FzB73HzOQHhA7JG45gUPMnDYt75mGGq&#10;XcM/9DiEXEQI+xQVFCFUqZQ+K8ii77uKOHoXV1sMUda51DU2EW6NHCbJWFosOS4UWNGqoOx2uFsF&#10;NPnaNzs3GB1PpjHX6nzT5fdaqV63XU5BBGrDf/jd3moF4xG8vs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fcisMAAADbAAAADwAAAAAAAAAAAAAAAACYAgAAZHJzL2Rv&#10;d25yZXYueG1sUEsFBgAAAAAEAAQA9QAAAIgDAAAAAA==&#10;" path="m70,r69,139l,139,70,xe" fillcolor="#9bbb59" stroked="f">
                  <v:path arrowok="t" o:connecttype="custom" o:connectlocs="44450,0;88265,88265;0,88265;44450,0" o:connectangles="0,0,0,0"/>
                </v:shape>
                <v:shape id="Freeform 60" o:spid="_x0000_s1089" style="position:absolute;left:29451;top:21151;width:882;height:883;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8yicQA&#10;AADbAAAADwAAAGRycy9kb3ducmV2LnhtbESPQWuDQBSE74X8h+UFcqtrPEix2YRQEvCSQG0h5PZ0&#10;X9XqvhV3Y8y/7xYKPQ4z8w2z2c2mFxONrrWsYB3FIIgrq1uuFXx+HJ9fQDiPrLG3TAoe5GC3XTxt&#10;MNP2zu80Fb4WAcIuQwWN90MmpasaMugiOxAH78uOBn2QYy31iPcAN71M4jiVBlsOCw0O9NZQ1RU3&#10;o+CUfl8v++mc3y5lybI42O6U5EqtlvP+FYSn2f+H/9q5VpCm8Psl/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MonEAAAA2wAAAA8AAAAAAAAAAAAAAAAAmAIAAGRycy9k&#10;b3ducmV2LnhtbFBLBQYAAAAABAAEAPUAAACJAwAAAAA=&#10;" path="m70,r69,139l,139,70,xe" filled="f" strokecolor="#98b954" strokeweight=".7pt">
                  <v:path arrowok="t" o:connecttype="custom" o:connectlocs="44450,0;88265,88265;0,88265;44450,0" o:connectangles="0,0,0,0"/>
                </v:shape>
                <v:shape id="Freeform 61" o:spid="_x0000_s1090" style="position:absolute;left:33750;top:21272;width:882;height:883;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nZsMA&#10;AADbAAAADwAAAGRycy9kb3ducmV2LnhtbESPQYvCMBSE74L/ITxhb5q6sCrVKCIuCC6IugjeHs2z&#10;rSYvpYm2/vuNIOxxmJlvmNmitUY8qPalYwXDQQKCOHO65FzB7/G7PwHhA7JG45gUPMnDYt7tzDDV&#10;ruE9PQ4hFxHCPkUFRQhVKqXPCrLoB64ijt7F1RZDlHUudY1NhFsjP5NkJC2WHBcKrGhVUHY73K0C&#10;mox/mq0bfh1PpjHX6nzT5W6t1EevXU5BBGrDf/jd3mgFozG8vs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nnZsMAAADbAAAADwAAAAAAAAAAAAAAAACYAgAAZHJzL2Rv&#10;d25yZXYueG1sUEsFBgAAAAAEAAQA9QAAAIgDAAAAAA==&#10;" path="m70,r69,139l,139,70,xe" fillcolor="#9bbb59" stroked="f">
                  <v:path arrowok="t" o:connecttype="custom" o:connectlocs="44450,0;88265,88265;0,88265;44450,0" o:connectangles="0,0,0,0"/>
                </v:shape>
                <v:shape id="Freeform 62" o:spid="_x0000_s1091" style="position:absolute;left:33750;top:21272;width:882;height:883;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YMEA&#10;AADbAAAADwAAAGRycy9kb3ducmV2LnhtbERPy2rCQBTdF/yH4Qrd1YlZhJI6iohCNimYFqS7a+aa&#10;RDN3Qmby8O87i0KXh/Pe7GbTipF611hWsF5FIIhLqxuuFHx/nd7eQTiPrLG1TAqe5GC3XbxsMNV2&#10;4jONha9ECGGXooLa+y6V0pU1GXQr2xEH7mZ7gz7AvpK6xymEm1bGUZRIgw2Hhho7OtRUPorBKMiT&#10;+89lP35mw+V6ZVkc7SOPM6Vel/P+A4Sn2f+L/9yZVpCEse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sA2DBAAAA2wAAAA8AAAAAAAAAAAAAAAAAmAIAAGRycy9kb3du&#10;cmV2LnhtbFBLBQYAAAAABAAEAPUAAACGAwAAAAA=&#10;" path="m70,r69,139l,139,70,xe" filled="f" strokecolor="#98b954" strokeweight=".7pt">
                  <v:path arrowok="t" o:connecttype="custom" o:connectlocs="44450,0;88265,88265;0,88265;44450,0" o:connectangles="0,0,0,0"/>
                </v:shape>
                <v:shape id="Freeform 63" o:spid="_x0000_s1092" style="position:absolute;left:38049;top:20802;width:882;height:883;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Wj8QA&#10;AADbAAAADwAAAGRycy9kb3ducmV2LnhtbESPW4vCMBSE3xf8D+EIvq2pgrdqFJFdWFhh8YLg26E5&#10;ttXkpDRZ2/33ZkHwcZiZb5jFqrVG3Kn2pWMFg34CgjhzuuRcwfHw+T4F4QOyRuOYFPyRh9Wy87bA&#10;VLuGd3Tfh1xECPsUFRQhVKmUPivIou+7ijh6F1dbDFHWudQ1NhFujRwmyVhaLDkuFFjRpqDstv+1&#10;Cmg62TbfbjA6nExjrtX5psufD6V63XY9BxGoDa/ws/2lFYxn8P8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1o/EAAAA2wAAAA8AAAAAAAAAAAAAAAAAmAIAAGRycy9k&#10;b3ducmV2LnhtbFBLBQYAAAAABAAEAPUAAACJAwAAAAA=&#10;" path="m70,r69,139l,139,70,xe" fillcolor="#9bbb59" stroked="f">
                  <v:path arrowok="t" o:connecttype="custom" o:connectlocs="44450,0;88265,88265;0,88265;44450,0" o:connectangles="0,0,0,0"/>
                </v:shape>
                <v:shape id="Freeform 64" o:spid="_x0000_s1093" style="position:absolute;left:38049;top:20802;width:882;height:883;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OZu8AA&#10;AADbAAAADwAAAGRycy9kb3ducmV2LnhtbERPTYvCMBC9L/gfwgje1lQPulSjiCj0omBXEG9jM7bV&#10;ZlKaWOu/NwfB4+N9z5edqURLjSstKxgNIxDEmdUl5wqO/9vfPxDOI2usLJOCFzlYLno/c4y1ffKB&#10;2tTnIoSwi1FB4X0dS+myggy6oa2JA3e1jUEfYJNL3eAzhJtKjqNoIg2WHBoKrGldUHZPH0bBbnI7&#10;n1btPnmcLheW6cbed+NEqUG/W81AeOr8V/xxJ1rBNKwPX8IP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4OZu8AAAADbAAAADwAAAAAAAAAAAAAAAACYAgAAZHJzL2Rvd25y&#10;ZXYueG1sUEsFBgAAAAAEAAQA9QAAAIUDAAAAAA==&#10;" path="m70,r69,139l,139,70,xe" filled="f" strokecolor="#98b954" strokeweight=".7pt">
                  <v:path arrowok="t" o:connecttype="custom" o:connectlocs="44450,0;88265,88265;0,88265;44450,0" o:connectangles="0,0,0,0"/>
                </v:shape>
                <v:shape id="Freeform 65" o:spid="_x0000_s1094" style="position:absolute;left:42329;top:20447;width:882;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kdsQA&#10;AADbAAAADwAAAGRycy9kb3ducmV2LnhtbESPQWsCMRSE7wX/Q3iCt5rYg5bVKCJYhLZI1YPHt5vn&#10;7uLmZdmkm+2/b4RCj8PMfMOsNoNtRE+drx1rmE0VCOLCmZpLDZfz/vkVhA/IBhvHpOGHPGzWo6cV&#10;ZsZF/qL+FEqRIOwz1FCF0GZS+qIii37qWuLk3VxnMSTZldJ0GBPcNvJFqbm0WHNaqLClXUXF/fRt&#10;NVzzXMXmeFDFIsT3/uMeP/O3qPVkPGyXIAIN4T/81z4YDYsZPL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D5HbEAAAA2wAAAA8AAAAAAAAAAAAAAAAAmAIAAGRycy9k&#10;b3ducmV2LnhtbFBLBQYAAAAABAAEAPUAAACJAwAAAAA=&#10;" path="m70,r69,140l,140,70,xe" fillcolor="#9bbb59" stroked="f">
                  <v:path arrowok="t" o:connecttype="custom" o:connectlocs="44450,0;88265,88900;0,88900;44450,0" o:connectangles="0,0,0,0"/>
                </v:shape>
                <v:shape id="Freeform 66" o:spid="_x0000_s1095" style="position:absolute;left:42329;top:20447;width:882;height:889;visibility:visible;mso-wrap-style:square;v-text-anchor:top" coordsize="1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LMEA&#10;AADbAAAADwAAAGRycy9kb3ducmV2LnhtbESPQYvCMBSE74L/ITzBm6b1oGs1iiiiV3UX6e3RPNtq&#10;81KaqPXfG0HY4zAz3zDzZWsq8aDGlZYVxMMIBHFmdcm5gt/TdvADwnlkjZVlUvAiB8tFtzPHRNsn&#10;H+hx9LkIEHYJKii8rxMpXVaQQTe0NXHwLrYx6INscqkbfAa4qeQoisbSYMlhocCa1gVlt+PdKLj6&#10;aSrj3d8mvWXxOYpXm/WuOinV77WrGQhPrf8Pf9t7rWAygs+X8AP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frizBAAAA2wAAAA8AAAAAAAAAAAAAAAAAmAIAAGRycy9kb3du&#10;cmV2LnhtbFBLBQYAAAAABAAEAPUAAACGAwAAAAA=&#10;" path="m70,r69,140l,140,70,xe" filled="f" strokecolor="#98b954" strokeweight=".7pt">
                  <v:path arrowok="t" o:connecttype="custom" o:connectlocs="44450,0;88265,88900;0,88900;44450,0" o:connectangles="0,0,0,0"/>
                </v:shape>
                <v:shape id="Freeform 67" o:spid="_x0000_s1096" style="position:absolute;left:46628;top:21075;width:882;height:883;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3uMQA&#10;AADbAAAADwAAAGRycy9kb3ducmV2LnhtbESP3WrCQBSE7wu+w3KE3tWNij+kriKiUGhBjKXQu0P2&#10;mER3z4bs1sS37wqCl8PMfMMsVp014kqNrxwrGA4SEMS50xUXCr6Pu7c5CB+QNRrHpOBGHlbL3ssC&#10;U+1aPtA1C4WIEPYpKihDqFMpfV6SRT9wNXH0Tq6xGKJsCqkbbCPcGjlKkqm0WHFcKLGmTUn5Jfuz&#10;Cmg++2o/3XBy/DGtOde/F13tt0q99rv1O4hAXXiGH+0PrWA2hv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bd7jEAAAA2wAAAA8AAAAAAAAAAAAAAAAAmAIAAGRycy9k&#10;b3ducmV2LnhtbFBLBQYAAAAABAAEAPUAAACJAwAAAAA=&#10;" path="m70,r69,139l,139,70,xe" fillcolor="#9bbb59" stroked="f">
                  <v:path arrowok="t" o:connecttype="custom" o:connectlocs="44450,0;88265,88265;0,88265;44450,0" o:connectangles="0,0,0,0"/>
                </v:shape>
                <v:shape id="Freeform 68" o:spid="_x0000_s1097" style="position:absolute;left:46628;top:21075;width:882;height:883;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uMUA&#10;AADbAAAADwAAAGRycy9kb3ducmV2LnhtbESPQWvCQBSE70L/w/IKvemmUrSkrhKKQi4pNBakt2f2&#10;NUmTfRuya5L++64geBxm5htms5tMKwbqXW1ZwfMiAkFcWF1zqeDreJi/gnAeWWNrmRT8kYPd9mG2&#10;wVjbkT9pyH0pAoRdjAoq77tYSldUZNAtbEccvB/bG/RB9qXUPY4Bblq5jKKVNFhzWKiwo/eKiia/&#10;GAXZ6vf7lAwf6eV0PrPM97bJlqlST49T8gbC0+Tv4Vs71QrWL3D9En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uJ+4xQAAANsAAAAPAAAAAAAAAAAAAAAAAJgCAABkcnMv&#10;ZG93bnJldi54bWxQSwUGAAAAAAQABAD1AAAAigMAAAAA&#10;" path="m70,r69,139l,139,70,xe" filled="f" strokecolor="#98b954" strokeweight=".7pt">
                  <v:path arrowok="t" o:connecttype="custom" o:connectlocs="44450,0;88265,88265;0,88265;44450,0" o:connectangles="0,0,0,0"/>
                </v:shape>
                <v:shape id="Freeform 69" o:spid="_x0000_s1098" style="position:absolute;left:12611;top:19685;width:34607;height:2044;visibility:visible;mso-wrap-style:square;v-text-anchor:top" coordsize="18168,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Hv8QA&#10;AADbAAAADwAAAGRycy9kb3ducmV2LnhtbESPS2/CMBCE75X4D9YicSsOIApKMYiHePRY6KW3TbxN&#10;IuJ1sA2Ef48rVepxNDPfaGaL1tTiRs5XlhUM+gkI4tzqigsFX6ft6xSED8gaa8uk4EEeFvPOywxT&#10;be/8SbdjKESEsE9RQRlCk0rp85IM+r5tiKP3Y53BEKUrpHZ4j3BTy2GSvEmDFceFEhtal5Sfj1ej&#10;YG9W0++k2X3QxtbFJXtko+zslOp12+U7iEBt+A//tQ9awWQMv1/i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7x7/EAAAA2wAAAA8AAAAAAAAAAAAAAAAAmAIAAGRycy9k&#10;b3ducmV2LnhtbFBLBQYAAAAABAAEAPUAAACJAwAAAAA=&#10;" path="m72,928r2248,l2299,932,4555,220v7,-2,14,-4,21,-4l6824,216v6,,12,1,18,3l9098,787r-18,-3l11336,784r-23,4l13561,4v7,-2,15,-4,23,-4l15840,v7,,13,1,20,3l18108,627v38,11,60,50,50,89c18147,754,18108,776,18069,766l15821,142r19,2l13584,144r24,-4l11360,924v-7,3,-15,4,-24,4l9080,928v-5,,-11,,-17,-2l6807,358r17,2l4576,360r22,-3l2342,1069v-7,2,-14,3,-22,3l72,1072c33,1072,,1040,,1000,,961,33,928,72,928xe" fillcolor="#e01f16" strokecolor="#e01f16" strokeweight=".1pt">
                  <v:stroke joinstyle="bevel"/>
                  <v:path arrowok="t" o:connecttype="custom" o:connectlocs="13715,177004;441928,177004;437927,177767;867664,41962;871664,41199;1299877,41199;1303305,41771;1733042,150110;1729613,149538;2159350,149538;2154968,150301;2583181,763;2587562,0;3017299,0;3021108,572;3449321,119592;3458845,136568;3441892,146104;3013679,27085;3017299,27466;2587562,27466;2592134,26703;2163921,176241;2159350,177004;1729613,177004;1726375,176622;1296638,68284;1299877,68665;871664,68665;875855,68093;446118,203898;441928,204470;13715,204470;0,190737;13715,177004" o:connectangles="0,0,0,0,0,0,0,0,0,0,0,0,0,0,0,0,0,0,0,0,0,0,0,0,0,0,0,0,0,0,0,0,0,0,0"/>
                </v:shape>
                <v:rect id="Rectangle 70" o:spid="_x0000_s1099" style="position:absolute;left:12293;top:21132;width:883;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pPMQA&#10;AADbAAAADwAAAGRycy9kb3ducmV2LnhtbESPT4vCMBTE78J+h/AW9iKa6kGla5SyqHhS/Ad6e9u8&#10;bUubl9JktX57Iwgeh5n5DTOdt6YSV2pcYVnBoB+BIE6tLjhTcDwsexMQziNrrCyTgjs5mM8+OlOM&#10;tb3xjq57n4kAYRejgtz7OpbSpTkZdH1bEwfvzzYGfZBNJnWDtwA3lRxG0UgaLDgs5FjTT05puf83&#10;Cn7XZVQu/H2Y7ZLVic7JRm4vXaW+PtvkG4Sn1r/Dr/ZaKxiP4P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qaTzEAAAA2wAAAA8AAAAAAAAAAAAAAAAAmAIAAGRycy9k&#10;b3ducmV2LnhtbFBLBQYAAAAABAAEAPUAAACJAwAAAAA=&#10;" fillcolor="#c00000" stroked="f"/>
                <v:rect id="Rectangle 71" o:spid="_x0000_s1100" style="position:absolute;left:12293;top:21132;width:883;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gJ8IA&#10;AADbAAAADwAAAGRycy9kb3ducmV2LnhtbESPQWsCMRSE74X+h/AKvZSataCpq1FEKfSqFnp9Js/d&#10;1c3LksR1+++bQsHjMDPfMIvV4FrRU4iNZw3jUQGC2HjbcKXh6/Dx+g4iJmSLrWfS8EMRVsvHhwWW&#10;1t94R/0+VSJDOJaooU6pK6WMpiaHceQ74uydfHCYsgyVtAFvGe5a+VYUU+mw4bxQY0ebmsxlf3Ua&#10;KvVy6I9mYprzZLbdXTGo705p/fw0rOcgEg3pHv5vf1oNSsHfl/w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6AnwgAAANsAAAAPAAAAAAAAAAAAAAAAAJgCAABkcnMvZG93&#10;bnJldi54bWxQSwUGAAAAAAQABAD1AAAAhwMAAAAA&#10;" filled="f" strokecolor="#c00000" strokeweight=".7pt">
                  <v:stroke joinstyle="round"/>
                </v:rect>
                <v:rect id="Rectangle 72" o:spid="_x0000_s1101" style="position:absolute;left:16586;top:21132;width:889;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Y1cMA&#10;AADbAAAADwAAAGRycy9kb3ducmV2LnhtbERPTWvCQBC9F/wPyxS8lGZTD7akWSVIlZwsagt6m2an&#10;SUh2NmRXk/z77qHg8fG+0/VoWnGj3tWWFbxEMQjiwuqaSwVfp+3zGwjnkTW2lknBRA7Wq9lDiom2&#10;Ax/odvSlCCHsElRQed8lUrqiIoMush1x4H5tb9AH2JdS9ziEcNPKRRwvpcGaQ0OFHW0qKprj1Sj4&#10;yZu4+fDTojxku286Z3v5eXlSav44Zu8gPI3+Lv5351rBaxgbvo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lY1cMAAADbAAAADwAAAAAAAAAAAAAAAACYAgAAZHJzL2Rv&#10;d25yZXYueG1sUEsFBgAAAAAEAAQA9QAAAIgDAAAAAA==&#10;" fillcolor="#c00000" stroked="f"/>
                <v:rect id="Rectangle 73" o:spid="_x0000_s1102" style="position:absolute;left:16586;top:21132;width:889;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RzsMA&#10;AADbAAAADwAAAGRycy9kb3ducmV2LnhtbESPzWrDMBCE74W+g9hCLyWWU0iduFZCaCnkmh/IdSNt&#10;bbfWykiK4759FAj0OMzMN0y1Gm0nBvKhdaxgmuUgiLUzLdcKDvuvyRxEiMgGO8ek4I8CrJaPDxWW&#10;xl14S8Mu1iJBOJSooImxL6UMuiGLIXM9cfK+nbcYk/S1NB4vCW47+Zrnb9Jiy2mhwZ4+GtK/u7NV&#10;UBcv++GkZ7r9mS0+t2f0xbEvlHp+GtfvICKN8T98b2+MgmIBty/pB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iRzsMAAADbAAAADwAAAAAAAAAAAAAAAACYAgAAZHJzL2Rv&#10;d25yZXYueG1sUEsFBgAAAAAEAAQA9QAAAIgDAAAAAA==&#10;" filled="f" strokecolor="#c00000" strokeweight=".7pt">
                  <v:stroke joinstyle="round"/>
                </v:rect>
                <v:rect id="Rectangle 74" o:spid="_x0000_s1103" style="position:absolute;left:20872;top:19780;width:883;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k9MEA&#10;AADbAAAADwAAAGRycy9kb3ducmV2LnhtbERPy4rCMBTdC/MP4Q64EU11IVJNSxlmxJXiC5zdneZO&#10;W9rclCZq/XuzEFweznuV9qYRN+pcZVnBdBKBIM6trrhQcDr+jBcgnEfW2FgmBQ9ykCYfgxXG2t55&#10;T7eDL0QIYRejgtL7NpbS5SUZdBPbEgfu33YGfYBdIXWH9xBuGjmLork0WHFoKLGlr5Ly+nA1Cv42&#10;dVR/+8es2GfrM12yrdz9jpQafvbZEoSn3r/FL/dGK1iE9eFL+AE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aJPTBAAAA2wAAAA8AAAAAAAAAAAAAAAAAmAIAAGRycy9kb3du&#10;cmV2LnhtbFBLBQYAAAAABAAEAPUAAACGAwAAAAA=&#10;" fillcolor="#c00000" stroked="f"/>
                <v:rect id="Rectangle 75" o:spid="_x0000_s1104" style="position:absolute;left:20872;top:19780;width:883;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vt78IA&#10;AADbAAAADwAAAGRycy9kb3ducmV2LnhtbESPQWsCMRSE7wX/Q3iCl6JZBbu6GkVaCr2qhV6fyXN3&#10;dfOyJHHd/vtGEHocZuYbZr3tbSM68qF2rGA6yUAQa2dqLhV8Hz/HCxAhIhtsHJOCXwqw3Qxe1lgY&#10;d+c9dYdYigThUKCCKsa2kDLoiiyGiWuJk3d23mJM0pfSeLwnuG3kLMvepMWa00KFLb1XpK+Hm1VQ&#10;5q/H7qTnur7Mlx/7G/r8p82VGg373QpEpD7+h5/tL6NgMYXHl/Q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3vwgAAANsAAAAPAAAAAAAAAAAAAAAAAJgCAABkcnMvZG93&#10;bnJldi54bWxQSwUGAAAAAAQABAD1AAAAhwMAAAAA&#10;" filled="f" strokecolor="#c00000" strokeweight=".7pt">
                  <v:stroke joinstyle="round"/>
                </v:rect>
                <v:rect id="Rectangle 76" o:spid="_x0000_s1105" style="position:absolute;left:25171;top:19780;width:883;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fGMQA&#10;AADbAAAADwAAAGRycy9kb3ducmV2LnhtbESPQYvCMBSE78L+h/AWvCya2oNINUpZVvGkqLugt2fz&#10;bEubl9JErf/eCAseh5n5hpktOlOLG7WutKxgNIxAEGdWl5wr+D0sBxMQziNrrC2Tggc5WMw/ejNM&#10;tL3zjm57n4sAYZeggsL7JpHSZQUZdEPbEAfvYluDPsg2l7rFe4CbWsZRNJYGSw4LBTb0XVBW7a9G&#10;wXldRdWPf8T5Ll390THdyO3pS6n+Z5dOQXjq/Dv8315rBZMY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HxjEAAAA2wAAAA8AAAAAAAAAAAAAAAAAmAIAAGRycy9k&#10;b3ducmV2LnhtbFBLBQYAAAAABAAEAPUAAACJAwAAAAA=&#10;" fillcolor="#c00000" stroked="f"/>
                <v:rect id="Rectangle 77" o:spid="_x0000_s1106" style="position:absolute;left:25171;top:19780;width:883;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WA8MA&#10;AADbAAAADwAAAGRycy9kb3ducmV2LnhtbESPQWsCMRSE70L/Q3hCL6LZtti1q1FKpeBVLfT6TF53&#10;VzcvSxLX9d8bQehxmJlvmMWqt43oyIfasYKXSQaCWDtTc6ngZ/89noEIEdlg45gUXCnAavk0WGBh&#10;3IW31O1iKRKEQ4EKqhjbQsqgK7IYJq4lTt6f8xZjkr6UxuMlwW0jX7PsXVqsOS1U2NJXRfq0O1sF&#10;ZT7adwc91fVx+rHentHnv22u1POw/5yDiNTH//CjvTEKZm9w/5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XWA8MAAADbAAAADwAAAAAAAAAAAAAAAACYAgAAZHJzL2Rv&#10;d25yZXYueG1sUEsFBgAAAAAEAAQA9QAAAIgDAAAAAA==&#10;" filled="f" strokecolor="#c00000" strokeweight=".7pt">
                  <v:stroke joinstyle="round"/>
                </v:rect>
                <v:rect id="Rectangle 78" o:spid="_x0000_s1107" style="position:absolute;left:29451;top:20878;width:882;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i98QA&#10;AADbAAAADwAAAGRycy9kb3ducmV2LnhtbESPQYvCMBSE7wv+h/AEL4umyrJINUoRFU+KroLens2z&#10;LW1eShO1/vuNsLDHYWa+Yabz1lTiQY0rLCsYDiIQxKnVBWcKjj+r/hiE88gaK8uk4EUO5rPOxxRj&#10;bZ+8p8fBZyJA2MWoIPe+jqV0aU4G3cDWxMG72cagD7LJpG7wGeCmkqMo+pYGCw4LOda0yCktD3ej&#10;4Lopo3LpX6Nsn6xPdE62cnf5VKrXbZMJCE+t/w//tTdawfgL3l/CD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hIvfEAAAA2wAAAA8AAAAAAAAAAAAAAAAAmAIAAGRycy9k&#10;b3ducmV2LnhtbFBLBQYAAAAABAAEAPUAAACJAwAAAAA=&#10;" fillcolor="#c00000" stroked="f"/>
                <v:rect id="Rectangle 79" o:spid="_x0000_s1108" style="position:absolute;left:29451;top:20878;width:882;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r7MMA&#10;AADbAAAADwAAAGRycy9kb3ducmV2LnhtbESPT2sCMRTE74LfITyhF9FsC+varVGKUujVP+D1NXnd&#10;3XbzsiRx3X77RhA8DjPzG2a1GWwrevKhcazgeZ6BINbONFwpOB0/ZksQISIbbB2Tgj8KsFmPRyss&#10;jbvynvpDrESCcChRQR1jV0oZdE0Ww9x1xMn7dt5iTNJX0ni8Jrht5UuWLaTFhtNCjR1ta9K/h4tV&#10;UBXTY/+lc9385K+7/QV9ce4KpZ4mw/sbiEhDfITv7U+jYJnD7Uv6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Dr7MMAAADbAAAADwAAAAAAAAAAAAAAAACYAgAAZHJzL2Rv&#10;d25yZXYueG1sUEsFBgAAAAAEAAQA9QAAAIgDAAAAAA==&#10;" filled="f" strokecolor="#c00000" strokeweight=".7pt">
                  <v:stroke joinstyle="round"/>
                </v:rect>
                <v:rect id="Rectangle 80" o:spid="_x0000_s1109" style="position:absolute;left:33750;top:20878;width:882;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ZG8QA&#10;AADbAAAADwAAAGRycy9kb3ducmV2LnhtbESPT4vCMBTE74LfITzBi6zpehDpNkoRXTzt4j/Q27N5&#10;tqXNS2mi1m+/WRA8DjPzGyZZdKYWd2pdaVnB5zgCQZxZXXKu4LBff8xAOI+ssbZMCp7kYDHv9xKM&#10;tX3wlu47n4sAYRejgsL7JpbSZQUZdGPbEAfvaluDPsg2l7rFR4CbWk6iaCoNlhwWCmxoWVBW7W5G&#10;wWVTRdXKPyf5Nv0+0in9kb/nkVLDQZd+gfDU+Xf41d5oBbMp/H8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GRvEAAAA2wAAAA8AAAAAAAAAAAAAAAAAmAIAAGRycy9k&#10;b3ducmV2LnhtbFBLBQYAAAAABAAEAPUAAACJAwAAAAA=&#10;" fillcolor="#c00000" stroked="f"/>
                <v:rect id="Rectangle 81" o:spid="_x0000_s1110" style="position:absolute;left:33750;top:20878;width:882;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7QAMMA&#10;AADbAAAADwAAAGRycy9kb3ducmV2LnhtbESPzWrDMBCE74W+g9hCLyWRU0idOpFNaCnkmh/IdStt&#10;bLfWykiK4759FAj0OMzMN8yqGm0nBvKhdaxgNs1AEGtnWq4VHPZfkwWIEJENdo5JwR8FqMrHhxUW&#10;xl14S8Mu1iJBOBSooImxL6QMuiGLYep64uSdnLcYk/S1NB4vCW47+Zplb9Jiy2mhwZ4+GtK/u7NV&#10;UOcv++Fbz3X7M3//3J7R58c+V+r5aVwvQUQa43/43t4YBYscbl/SD5D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7QAMMAAADbAAAADwAAAAAAAAAAAAAAAACYAgAAZHJzL2Rv&#10;d25yZXYueG1sUEsFBgAAAAAEAAQA9QAAAIgDAAAAAA==&#10;" filled="f" strokecolor="#c00000" strokeweight=".7pt">
                  <v:stroke joinstyle="round"/>
                </v:rect>
                <v:rect id="Rectangle 82" o:spid="_x0000_s1111" style="position:absolute;left:38049;top:19367;width:882;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o8sEA&#10;AADbAAAADwAAAGRycy9kb3ducmV2LnhtbERPy4rCMBTdC/MP4Q64EU11IVJNSxlmxJXiC5zdneZO&#10;W9rclCZq/XuzEFweznuV9qYRN+pcZVnBdBKBIM6trrhQcDr+jBcgnEfW2FgmBQ9ykCYfgxXG2t55&#10;T7eDL0QIYRejgtL7NpbS5SUZdBPbEgfu33YGfYBdIXWH9xBuGjmLork0WHFoKLGlr5Ly+nA1Cv42&#10;dVR/+8es2GfrM12yrdz9jpQafvbZEoSn3r/FL/dGK1iEseFL+AE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sKPLBAAAA2wAAAA8AAAAAAAAAAAAAAAAAmAIAAGRycy9kb3du&#10;cmV2LnhtbFBLBQYAAAAABAAEAPUAAACGAwAAAAA=&#10;" fillcolor="#c00000" stroked="f"/>
                <v:rect id="Rectangle 83" o:spid="_x0000_s1112" style="position:absolute;left:38049;top:19367;width:882;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3h6cIA&#10;AADbAAAADwAAAGRycy9kb3ducmV2LnhtbESPQWsCMRSE7wX/Q3iCl6JZBbu6GkVahF7VQq/P5Lm7&#10;unlZkriu/74pFHocZuYbZr3tbSM68qF2rGA6yUAQa2dqLhV8nfbjBYgQkQ02jknBkwJsN4OXNRbG&#10;PfhA3TGWIkE4FKigirEtpAy6Ioth4lri5F2ctxiT9KU0Hh8Jbhs5y7I3abHmtFBhS+8V6dvxbhWU&#10;+eupO+u5rq/z5cfhjj7/bnOlRsN+twIRqY//4b/2p1GwWMLvl/Q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eHpwgAAANsAAAAPAAAAAAAAAAAAAAAAAJgCAABkcnMvZG93&#10;bnJldi54bWxQSwUGAAAAAAQABAD1AAAAhwMAAAAA&#10;" filled="f" strokecolor="#c00000" strokeweight=".7pt">
                  <v:stroke joinstyle="round"/>
                </v:rect>
                <v:rect id="Rectangle 84" o:spid="_x0000_s1113" style="position:absolute;left:42329;top:19367;width:882;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yKcMA&#10;AADbAAAADwAAAGRycy9kb3ducmV2LnhtbERPTWvCQBC9F/wPyxS8lGZTD9KmWSVIlZwsagt6m2an&#10;SUh2NmRXk/z77qHg8fG+0/VoWnGj3tWWFbxEMQjiwuqaSwVfp+3zKwjnkTW2lknBRA7Wq9lDiom2&#10;Ax/odvSlCCHsElRQed8lUrqiIoMush1x4H5tb9AH2JdS9ziEcNPKRRwvpcGaQ0OFHW0qKprj1Sj4&#10;yZu4+fDTojxku286Z3v5eXlSav44Zu8gPI3+Lv5351rBW1gfvo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OyKcMAAADbAAAADwAAAAAAAAAAAAAAAACYAgAAZHJzL2Rv&#10;d25yZXYueG1sUEsFBgAAAAAEAAQA9QAAAIgDAAAAAA==&#10;" fillcolor="#c00000" stroked="f"/>
                <v:rect id="Rectangle 85" o:spid="_x0000_s1114" style="position:absolute;left:42329;top:19367;width:882;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7MsIA&#10;AADbAAAADwAAAGRycy9kb3ducmV2LnhtbESPQWsCMRSE7wX/Q3iCl6JZBbu6GkVaCr2qhV6fyXN3&#10;dfOyJHHd/vtGEHocZuYbZr3tbSM68qF2rGA6yUAQa2dqLhV8Hz/HCxAhIhtsHJOCXwqw3Qxe1lgY&#10;d+c9dYdYigThUKCCKsa2kDLoiiyGiWuJk3d23mJM0pfSeLwnuG3kLMvepMWa00KFLb1XpK+Hm1VQ&#10;5q/H7qTnur7Mlx/7G/r8p82VGg373QpEpD7+h5/tL6NgOYXHl/Q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nsywgAAANsAAAAPAAAAAAAAAAAAAAAAAJgCAABkcnMvZG93&#10;bnJldi54bWxQSwUGAAAAAAQABAD1AAAAhwMAAAAA&#10;" filled="f" strokecolor="#c00000" strokeweight=".7pt">
                  <v:stroke joinstyle="round"/>
                </v:rect>
                <v:rect id="Rectangle 86" o:spid="_x0000_s1115" style="position:absolute;left:46628;top:20574;width:882;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JxcUA&#10;AADbAAAADwAAAGRycy9kb3ducmV2LnhtbESPQWvCQBSE74L/YXlCL6Kb5iA1dZUgtnhqUVuwt2f2&#10;mYRk34bsNon/3i0UPA4z8w2z2gymFh21rrSs4HkegSDOrC45V/B1epu9gHAeWWNtmRTcyMFmPR6t&#10;MNG25wN1R5+LAGGXoILC+yaR0mUFGXRz2xAH72pbgz7INpe6xT7ATS3jKFpIgyWHhQIb2haUVcdf&#10;o+Cyr6Jq529xfkjfv+mcfsjPn6lST5MhfQXhafCP8H97rxUsY/j7En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YnFxQAAANsAAAAPAAAAAAAAAAAAAAAAAJgCAABkcnMv&#10;ZG93bnJldi54bWxQSwUGAAAAAAQABAD1AAAAigMAAAAA&#10;" fillcolor="#c00000" stroked="f"/>
                <v:rect id="Rectangle 87" o:spid="_x0000_s1116" style="position:absolute;left:46628;top:20574;width:882;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A3sMA&#10;AADbAAAADwAAAGRycy9kb3ducmV2LnhtbESPQWsCMRSE70L/Q3hCL6LZttitq1FKpeBVLfT6TF53&#10;VzcvSxLX9d8bQehxmJlvmMWqt43oyIfasYKXSQaCWDtTc6ngZ/89/gARIrLBxjEpuFKA1fJpsMDC&#10;uAtvqdvFUiQIhwIVVDG2hZRBV2QxTFxLnLw/5y3GJH0pjcdLgttGvmbZu7RYc1qosKWvivRpd7YK&#10;yny07w56quvjdLbentHnv22u1POw/5yDiNTH//CjvTEKZm9w/5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xA3sMAAADbAAAADwAAAAAAAAAAAAAAAACYAgAAZHJzL2Rv&#10;d25yZXYueG1sUEsFBgAAAAAEAAQA9QAAAIgDAAAAAA==&#10;" filled="f" strokecolor="#c00000" strokeweight=".7pt">
                  <v:stroke joinstyle="round"/>
                </v:rect>
                <v:shape id="Freeform 88" o:spid="_x0000_s1117" style="position:absolute;left:12592;top:15595;width:34626;height:3486;visibility:visible;mso-wrap-style:square;v-text-anchor:top" coordsize="18178,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Az8QA&#10;AADbAAAADwAAAGRycy9kb3ducmV2LnhtbESPUWvCMBSF3wf7D+EOfJvptOhajTIEcexhqPMHXJpr&#10;U5rclCZq/fdmMNjj4ZzzHc5yPTgrrtSHxrOCt3EGgrjyuuFaweln+/oOIkRkjdYzKbhTgPXq+WmJ&#10;pfY3PtD1GGuRIBxKVGBi7EopQ2XIYRj7jjh5Z987jEn2tdQ93hLcWTnJspl02HBaMNjRxlDVHi9O&#10;wX7/Pcnz+cluZkVr2y8zbYv7TqnRy/CxABFpiP/hv/anVlDk8Psl/Q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jwM/EAAAA2wAAAA8AAAAAAAAAAAAAAAAAmAIAAGRycy9k&#10;b3ducmV2LnhtbFBLBQYAAAAABAAEAPUAAACJAwAAAAA=&#10;" path="m44,1687l2292,271v18,-12,40,-15,60,-8l4608,975r-22,-4l6834,971v6,,12,1,17,2l9107,1509r-56,11l11307,16v18,-13,41,-16,62,-9l13617,759r-23,-4l15850,755v6,,12,1,18,3l18116,1326v39,9,62,49,52,87c18159,1452,18119,1475,18081,1465l15833,897r17,2l13594,899v-7,,-15,-1,-22,-3l11324,144r62,-9l9130,1639v-16,11,-37,15,-56,11l6818,1114r16,1l4586,1115v-7,,-14,-1,-21,-3l2309,400r60,-8l121,1808v-34,22,-78,11,-99,-22c,1752,10,1708,44,1687xe" fillcolor="#d8a851" strokecolor="#d8a851" strokeweight=".1pt">
                  <v:stroke joinstyle="bevel"/>
                  <v:path arrowok="t" o:connecttype="custom" o:connectlocs="8381,321374;436594,51626;448023,50102;877760,185738;873569,184976;1301782,184976;1305020,185357;1734756,287465;1724089,289560;2153826,3048;2165636,1334;2593848,144590;2589467,143828;3019204,143828;3022632,144399;3450845,252603;3460750,269177;3444178,279083;3015965,170879;3019204,171260;2589467,171260;2585276,170688;2157064,27432;2168874,25718;1739137,312230;1728470,314325;1298734,212217;1301782,212408;873569,212408;869569,211836;439832,76200;451261,74676;23049,344424;4191,340233;8381,321374" o:connectangles="0,0,0,0,0,0,0,0,0,0,0,0,0,0,0,0,0,0,0,0,0,0,0,0,0,0,0,0,0,0,0,0,0,0,0"/>
                </v:shape>
                <v:shape id="Freeform 89" o:spid="_x0000_s1118" style="position:absolute;left:12153;top:18345;width:1156;height:1162;visibility:visible;mso-wrap-style:square;v-text-anchor:top" coordsize="18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1AcUA&#10;AADbAAAADwAAAGRycy9kb3ducmV2LnhtbESPQWvCQBSE7wX/w/KEXkQ3FRo0uopVCqUHwejF2yP7&#10;TILZt3F3jWl/fbdQ6HGYmW+Y5bo3jejI+dqygpdJAoK4sLrmUsHp+D6egfABWWNjmRR8kYf1avC0&#10;xEzbBx+oy0MpIoR9hgqqENpMSl9UZNBPbEscvYt1BkOUrpTa4SPCTSOnSZJKgzXHhQpb2lZUXPO7&#10;UeBGstu93fL0e7vfdef0OtKfxV6p52G/WYAI1If/8F/7QyuYv8Lvl/g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vUBxQAAANsAAAAPAAAAAAAAAAAAAAAAAJgCAABkcnMv&#10;ZG93bnJldi54bWxQSwUGAAAAAAQABAD1AAAAigMAAAAA&#10;" path="m182,183l,m91,r,183m,183l182,e" filled="f" strokecolor="#e46c0a" strokeweight=".95pt">
                  <v:path arrowok="t" o:connecttype="custom" o:connectlocs="115570,116205;0,0;57785,0;57785,116205;0,116205;115570,0" o:connectangles="0,0,0,0,0,0"/>
                  <o:lock v:ext="edit" verticies="t"/>
                </v:shape>
                <v:shape id="Freeform 90" o:spid="_x0000_s1119" style="position:absolute;left:16452;top:15646;width:1156;height:1162;visibility:visible;mso-wrap-style:square;v-text-anchor:top" coordsize="18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rdsYA&#10;AADbAAAADwAAAGRycy9kb3ducmV2LnhtbESPzWrDMBCE74W8g9hAL6GR24Np3MghPwRKDoE6ufS2&#10;WFvb2Fq5kuK4efqqUMhxmJlvmOVqNJ0YyPnGsoLneQKCuLS64UrB+bR/egXhA7LGzjIp+CEPq3zy&#10;sMRM2yt/0FCESkQI+wwV1CH0mZS+rMmgn9ueOHpf1hkMUbpKaofXCDedfEmSVBpsOC7U2NO2prIt&#10;LkaBm8lht/ku0tv2uBs+03amD+VRqcfpuH4DEWgM9/B/+10rWKTw9yX+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RrdsYAAADbAAAADwAAAAAAAAAAAAAAAACYAgAAZHJz&#10;L2Rvd25yZXYueG1sUEsFBgAAAAAEAAQA9QAAAIsDAAAAAA==&#10;" path="m182,183l,m91,r,183m,183l182,e" filled="f" strokecolor="#e46c0a" strokeweight=".95pt">
                  <v:path arrowok="t" o:connecttype="custom" o:connectlocs="115570,116205;0,0;57785,0;57785,116205;0,116205;115570,0" o:connectangles="0,0,0,0,0,0"/>
                  <o:lock v:ext="edit" verticies="t"/>
                </v:shape>
                <v:shape id="Freeform 91" o:spid="_x0000_s1120" style="position:absolute;left:20732;top:16986;width:1162;height:1162;visibility:visible;mso-wrap-style:square;v-text-anchor:top" coordsize="18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bicUA&#10;AADbAAAADwAAAGRycy9kb3ducmV2LnhtbESPT2vCQBTE7wW/w/IEL0U3ekg0uooo0tJ68Q/o8ZF9&#10;JsHs27C71fTbdwuFHoeZ+Q2zWHWmEQ9yvrasYDxKQBAXVtdcKjifdsMpCB+QNTaWScE3eVgtey8L&#10;zLV98oEex1CKCGGfo4IqhDaX0hcVGfQj2xJH72adwRClK6V2+Ixw08hJkqTSYM1xocKWNhUV9+OX&#10;UZC93i6tXl8/3/aH8SbNrh9bV6ZKDfrdeg4iUBf+w3/td61glsHvl/g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puJxQAAANsAAAAPAAAAAAAAAAAAAAAAAJgCAABkcnMv&#10;ZG93bnJldi54bWxQSwUGAAAAAAQABAD1AAAAigMAAAAA&#10;" path="m183,183l,m91,r,183m,183l183,e" filled="f" strokecolor="#e46c0a" strokeweight=".95pt">
                  <v:path arrowok="t" o:connecttype="custom" o:connectlocs="116205,116205;0,0;57785,0;57785,116205;0,116205;116205,0" o:connectangles="0,0,0,0,0,0"/>
                  <o:lock v:ext="edit" verticies="t"/>
                </v:shape>
                <v:shape id="Freeform 92" o:spid="_x0000_s1121" style="position:absolute;left:25031;top:16986;width:1156;height:1162;visibility:visible;mso-wrap-style:square;v-text-anchor:top" coordsize="18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an8MA&#10;AADbAAAADwAAAGRycy9kb3ducmV2LnhtbERPz2vCMBS+D/wfwhvsIppuhzI7Y5mKIDsIq168PZq3&#10;trR56ZJY6/56cxB2/Ph+L/PRdGIg5xvLCl7nCQji0uqGKwWn4272DsIHZI2dZVJwIw/5avK0xEzb&#10;K3/TUIRKxBD2GSqoQ+gzKX1Zk0E/tz1x5H6sMxgidJXUDq8x3HTyLUlSabDh2FBjT5uayra4GAVu&#10;Koft+rdI/zaH7XBO26n+Kg9KvTyPnx8gAo3hX/xw77WCRRwbv8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dan8MAAADbAAAADwAAAAAAAAAAAAAAAACYAgAAZHJzL2Rv&#10;d25yZXYueG1sUEsFBgAAAAAEAAQA9QAAAIgDAAAAAA==&#10;" path="m182,183l,m91,r,183m,183l182,e" filled="f" strokecolor="#e46c0a" strokeweight=".95pt">
                  <v:path arrowok="t" o:connecttype="custom" o:connectlocs="115570,116205;0,0;57785,0;57785,116205;0,116205;115570,0" o:connectangles="0,0,0,0,0,0"/>
                  <o:lock v:ext="edit" verticies="t"/>
                </v:shape>
                <v:shape id="Freeform 93" o:spid="_x0000_s1122" style="position:absolute;left:29311;top:18008;width:1162;height:1162;visibility:visible;mso-wrap-style:square;v-text-anchor:top" coordsize="18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qYMUA&#10;AADbAAAADwAAAGRycy9kb3ducmV2LnhtbESPT2sCMRTE7wW/Q3iCF9GsHta63SiiiKXtRS3U42Pz&#10;9g/dvCxJ1O23bwpCj8PM/IbJ171pxY2cbywrmE0TEMSF1Q1XCj7P+8kzCB+QNbaWScEPeVivBk85&#10;Ztre+Ui3U6hEhLDPUEEdQpdJ6YuaDPqp7YijV1pnMETpKqkd3iPctHKeJKk02HBcqLGjbU3F9+lq&#10;FCzG5VenN5f3w8dxtk0Xl7edq1KlRsN+8wIiUB/+w4/2q1awXM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apgxQAAANsAAAAPAAAAAAAAAAAAAAAAAJgCAABkcnMv&#10;ZG93bnJldi54bWxQSwUGAAAAAAQABAD1AAAAigMAAAAA&#10;" path="m183,183l,m92,r,183m,183l183,e" filled="f" strokecolor="#e46c0a" strokeweight=".95pt">
                  <v:path arrowok="t" o:connecttype="custom" o:connectlocs="116205,116205;0,0;58420,0;58420,116205;0,116205;116205,0" o:connectangles="0,0,0,0,0,0"/>
                  <o:lock v:ext="edit" verticies="t"/>
                </v:shape>
                <v:shape id="Freeform 94" o:spid="_x0000_s1123" style="position:absolute;left:33610;top:15157;width:1162;height:1162;visibility:visible;mso-wrap-style:square;v-text-anchor:top" coordsize="18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ciMYA&#10;AADcAAAADwAAAGRycy9kb3ducmV2LnhtbESPQWvCQBCF74L/YRmhF9GNPUSJriKW0tJ60Rb0OGTH&#10;JJidDbtbTf9951DwNsN78943q03vWnWjEBvPBmbTDBRx6W3DlYHvr9fJAlRMyBZbz2TglyJs1sPB&#10;Cgvr73yg2zFVSkI4FmigTqkrtI5lTQ7j1HfEol18cJhkDZW2Ae8S7lr9nGW5dtiwNNTY0a6m8nr8&#10;cQbm48ups9vz59v+MNvl8/PHS6hyY55G/XYJKlGfHub/63cr+Jngyz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ciMYAAADcAAAADwAAAAAAAAAAAAAAAACYAgAAZHJz&#10;L2Rvd25yZXYueG1sUEsFBgAAAAAEAAQA9QAAAIsDAAAAAA==&#10;" path="m183,183l,m91,r,183m,183l183,e" filled="f" strokecolor="#e46c0a" strokeweight=".95pt">
                  <v:path arrowok="t" o:connecttype="custom" o:connectlocs="116205,116205;0,0;57785,0;57785,116205;0,116205;116205,0" o:connectangles="0,0,0,0,0,0"/>
                  <o:lock v:ext="edit" verticies="t"/>
                </v:shape>
                <v:shape id="Freeform 95" o:spid="_x0000_s1124" style="position:absolute;left:37909;top:16592;width:1156;height:1162;visibility:visible;mso-wrap-style:square;v-text-anchor:top" coordsize="18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jncQA&#10;AADcAAAADwAAAGRycy9kb3ducmV2LnhtbERPS2vCQBC+C/0PyxR6Ed3YQ5A0q/igUHoQjF56G7Jj&#10;EszOprvbmPrrXUHwNh/fc/LlYFrRk/ONZQWzaQKCuLS64UrB8fA5mYPwAVlja5kU/JOH5eJllGOm&#10;7YX31BehEjGEfYYK6hC6TEpf1mTQT21HHLmTdQZDhK6S2uElhptWvidJKg02HBtq7GhTU3ku/owC&#10;N5b9dv1bpNfNbtv/pOex/i53Sr29DqsPEIGG8BQ/3F86zk9mcH8mX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A453EAAAA3AAAAA8AAAAAAAAAAAAAAAAAmAIAAGRycy9k&#10;b3ducmV2LnhtbFBLBQYAAAAABAAEAPUAAACJAwAAAAA=&#10;" path="m182,183l,m91,r,183m,183l182,e" filled="f" strokecolor="#e46c0a" strokeweight=".95pt">
                  <v:path arrowok="t" o:connecttype="custom" o:connectlocs="115570,116205;0,0;57785,0;57785,116205;0,116205;115570,0" o:connectangles="0,0,0,0,0,0"/>
                  <o:lock v:ext="edit" verticies="t"/>
                </v:shape>
                <v:shape id="Freeform 96" o:spid="_x0000_s1125" style="position:absolute;left:42189;top:16592;width:1162;height:1162;visibility:visible;mso-wrap-style:square;v-text-anchor:top" coordsize="18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inZMIA&#10;AADcAAAADwAAAGRycy9kb3ducmV2LnhtbERPTYvCMBC9C/sfwix4EU31UJdqFHERxfWiK+hxaMa2&#10;bDMpSdT6782C4G0e73Om89bU4kbOV5YVDAcJCOLc6ooLBcffVf8LhA/IGmvLpOBBHuazj84UM23v&#10;vKfbIRQihrDPUEEZQpNJ6fOSDPqBbYgjd7HOYIjQFVI7vMdwU8tRkqTSYMWxocSGliXlf4erUTDu&#10;XU6NXpx/1rv9cJmOz9tvV6RKdT/bxQREoDa8xS/3Rsf5yQj+n4kX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KdkwgAAANwAAAAPAAAAAAAAAAAAAAAAAJgCAABkcnMvZG93&#10;bnJldi54bWxQSwUGAAAAAAQABAD1AAAAhwMAAAAA&#10;" path="m183,183l,m92,r,183m,183l183,e" filled="f" strokecolor="#e46c0a" strokeweight=".95pt">
                  <v:path arrowok="t" o:connecttype="custom" o:connectlocs="116205,116205;0,0;58420,0;58420,116205;0,116205;116205,0" o:connectangles="0,0,0,0,0,0"/>
                  <o:lock v:ext="edit" verticies="t"/>
                </v:shape>
                <v:shape id="Freeform 97" o:spid="_x0000_s1126" style="position:absolute;left:46488;top:17678;width:1162;height:1156;visibility:visible;mso-wrap-style:square;v-text-anchor:top" coordsize="18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MKsIA&#10;AADcAAAADwAAAGRycy9kb3ducmV2LnhtbERP3WrCMBS+F/YO4Qi708QJ4jqjbKODOpBh9QEOzVlT&#10;1pyUJtru7ZeB4N35+H7PZje6VlypD41nDYu5AkFcedNwreF8+pitQYSIbLD1TBp+KcBu+zDZYGb8&#10;wEe6lrEWKYRDhhpsjF0mZagsOQxz3xEn7tv3DmOCfS1Nj0MKd618UmolHTacGix29G6p+ikvTkNp&#10;918D++NSFZf8kBdvxedz7rV+nI6vLyAijfEuvrkLk+arJfw/ky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kwqwgAAANwAAAAPAAAAAAAAAAAAAAAAAJgCAABkcnMvZG93&#10;bnJldi54bWxQSwUGAAAAAAQABAD1AAAAhwMAAAAA&#10;" path="m183,182l,m91,r,182m,182l183,e" filled="f" strokecolor="#e46c0a" strokeweight=".95pt">
                  <v:path arrowok="t" o:connecttype="custom" o:connectlocs="116205,115570;0,0;57785,0;57785,115570;0,115570;116205,0" o:connectangles="0,0,0,0,0,0"/>
                  <o:lock v:ext="edit" verticies="t"/>
                </v:shape>
                <v:rect id="Rectangle 98" o:spid="_x0000_s1127" style="position:absolute;left:7753;top:23590;width:177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2E6059" w:rsidRDefault="002E6059" w:rsidP="00C939D5">
                        <w:r>
                          <w:rPr>
                            <w:rFonts w:cs="Arial"/>
                            <w:color w:val="000000"/>
                            <w:sz w:val="20"/>
                            <w:szCs w:val="20"/>
                          </w:rPr>
                          <w:t>0.0</w:t>
                        </w:r>
                      </w:p>
                    </w:txbxContent>
                  </v:textbox>
                </v:rect>
                <v:rect id="Rectangle 99" o:spid="_x0000_s1128" style="position:absolute;left:6343;top:20110;width:318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2E6059" w:rsidRDefault="002E6059" w:rsidP="00C939D5">
                        <w:r>
                          <w:rPr>
                            <w:rFonts w:cs="Arial"/>
                            <w:color w:val="000000"/>
                            <w:sz w:val="20"/>
                            <w:szCs w:val="20"/>
                          </w:rPr>
                          <w:t>200.0</w:t>
                        </w:r>
                      </w:p>
                    </w:txbxContent>
                  </v:textbox>
                </v:rect>
                <v:rect id="Rectangle 100" o:spid="_x0000_s1129" style="position:absolute;left:6343;top:16611;width:318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2E6059" w:rsidRDefault="002E6059" w:rsidP="00C939D5">
                        <w:r>
                          <w:rPr>
                            <w:rFonts w:cs="Arial"/>
                            <w:color w:val="000000"/>
                            <w:sz w:val="20"/>
                            <w:szCs w:val="20"/>
                          </w:rPr>
                          <w:t>400.0</w:t>
                        </w:r>
                      </w:p>
                    </w:txbxContent>
                  </v:textbox>
                </v:rect>
                <v:rect id="Rectangle 101" o:spid="_x0000_s1130" style="position:absolute;left:6343;top:13131;width:318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2E6059" w:rsidRDefault="002E6059" w:rsidP="00C939D5">
                        <w:r>
                          <w:rPr>
                            <w:rFonts w:cs="Arial"/>
                            <w:color w:val="000000"/>
                            <w:sz w:val="20"/>
                            <w:szCs w:val="20"/>
                          </w:rPr>
                          <w:t>600.0</w:t>
                        </w:r>
                      </w:p>
                    </w:txbxContent>
                  </v:textbox>
                </v:rect>
                <v:rect id="Rectangle 102" o:spid="_x0000_s1131" style="position:absolute;left:6343;top:9632;width:318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2E6059" w:rsidRDefault="002E6059" w:rsidP="00C939D5">
                        <w:r>
                          <w:rPr>
                            <w:rFonts w:cs="Arial"/>
                            <w:color w:val="000000"/>
                            <w:sz w:val="20"/>
                            <w:szCs w:val="20"/>
                          </w:rPr>
                          <w:t>800.0</w:t>
                        </w:r>
                      </w:p>
                    </w:txbxContent>
                  </v:textbox>
                </v:rect>
                <v:rect id="Rectangle 103" o:spid="_x0000_s1132" style="position:absolute;left:5283;top:6153;width:42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2E6059" w:rsidRDefault="002E6059" w:rsidP="00C939D5">
                        <w:r>
                          <w:rPr>
                            <w:rFonts w:cs="Arial"/>
                            <w:color w:val="000000"/>
                            <w:sz w:val="20"/>
                            <w:szCs w:val="20"/>
                          </w:rPr>
                          <w:t>1 000.0</w:t>
                        </w:r>
                      </w:p>
                    </w:txbxContent>
                  </v:textbox>
                </v:rect>
                <v:rect id="Rectangle 104" o:spid="_x0000_s1133" style="position:absolute;left:5283;top:2654;width:42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2E6059" w:rsidRDefault="002E6059" w:rsidP="00C939D5">
                        <w:r>
                          <w:rPr>
                            <w:rFonts w:cs="Arial"/>
                            <w:color w:val="000000"/>
                            <w:sz w:val="20"/>
                            <w:szCs w:val="20"/>
                          </w:rPr>
                          <w:t>1 200.0</w:t>
                        </w:r>
                      </w:p>
                    </w:txbxContent>
                  </v:textbox>
                </v:rect>
                <v:rect id="Rectangle 105" o:spid="_x0000_s1134" style="position:absolute;left:11906;top:25101;width:1695;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2E6059" w:rsidRDefault="002E6059" w:rsidP="00C939D5">
                        <w:r>
                          <w:rPr>
                            <w:rFonts w:cs="Arial"/>
                            <w:color w:val="000000"/>
                            <w:sz w:val="20"/>
                            <w:szCs w:val="20"/>
                          </w:rPr>
                          <w:t>Q1</w:t>
                        </w:r>
                      </w:p>
                    </w:txbxContent>
                  </v:textbox>
                </v:rect>
                <v:rect id="Rectangle 106" o:spid="_x0000_s1135" style="position:absolute;left:11347;top:26568;width:282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2E6059" w:rsidRDefault="002E6059" w:rsidP="00C939D5">
                        <w:r>
                          <w:rPr>
                            <w:rFonts w:cs="Arial"/>
                            <w:color w:val="000000"/>
                            <w:sz w:val="20"/>
                            <w:szCs w:val="20"/>
                          </w:rPr>
                          <w:t>2015</w:t>
                        </w:r>
                      </w:p>
                    </w:txbxContent>
                  </v:textbox>
                </v:rect>
                <v:rect id="Rectangle 107" o:spid="_x0000_s1136" style="position:absolute;left:16198;top:25101;width:169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2E6059" w:rsidRDefault="002E6059" w:rsidP="00C939D5">
                        <w:r>
                          <w:rPr>
                            <w:rFonts w:cs="Arial"/>
                            <w:color w:val="000000"/>
                            <w:sz w:val="20"/>
                            <w:szCs w:val="20"/>
                          </w:rPr>
                          <w:t>Q2</w:t>
                        </w:r>
                      </w:p>
                    </w:txbxContent>
                  </v:textbox>
                </v:rect>
                <v:rect id="Rectangle 108" o:spid="_x0000_s1137" style="position:absolute;left:15633;top:26568;width:282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2E6059" w:rsidRDefault="002E6059" w:rsidP="00C939D5">
                        <w:r>
                          <w:rPr>
                            <w:rFonts w:cs="Arial"/>
                            <w:color w:val="000000"/>
                            <w:sz w:val="20"/>
                            <w:szCs w:val="20"/>
                          </w:rPr>
                          <w:t>2015</w:t>
                        </w:r>
                      </w:p>
                    </w:txbxContent>
                  </v:textbox>
                </v:rect>
                <v:rect id="Rectangle 109" o:spid="_x0000_s1138" style="position:absolute;left:20491;top:25101;width:1695;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2E6059" w:rsidRDefault="002E6059" w:rsidP="00C939D5">
                        <w:r>
                          <w:rPr>
                            <w:rFonts w:cs="Arial"/>
                            <w:color w:val="000000"/>
                            <w:sz w:val="20"/>
                            <w:szCs w:val="20"/>
                          </w:rPr>
                          <w:t>Q3</w:t>
                        </w:r>
                      </w:p>
                    </w:txbxContent>
                  </v:textbox>
                </v:rect>
                <v:rect id="Rectangle 110" o:spid="_x0000_s1139" style="position:absolute;left:19926;top:26568;width:282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2E6059" w:rsidRDefault="002E6059" w:rsidP="00C939D5">
                        <w:r>
                          <w:rPr>
                            <w:rFonts w:cs="Arial"/>
                            <w:color w:val="000000"/>
                            <w:sz w:val="20"/>
                            <w:szCs w:val="20"/>
                          </w:rPr>
                          <w:t>2015</w:t>
                        </w:r>
                      </w:p>
                    </w:txbxContent>
                  </v:textbox>
                </v:rect>
                <v:rect id="Rectangle 111" o:spid="_x0000_s1140" style="position:absolute;left:24777;top:25101;width:169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2E6059" w:rsidRDefault="002E6059" w:rsidP="00C939D5">
                        <w:r>
                          <w:rPr>
                            <w:rFonts w:cs="Arial"/>
                            <w:color w:val="000000"/>
                            <w:sz w:val="20"/>
                            <w:szCs w:val="20"/>
                          </w:rPr>
                          <w:t>Q4</w:t>
                        </w:r>
                      </w:p>
                    </w:txbxContent>
                  </v:textbox>
                </v:rect>
                <v:rect id="Rectangle 112" o:spid="_x0000_s1141" style="position:absolute;left:24218;top:26568;width:282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2E6059" w:rsidRDefault="002E6059" w:rsidP="00C939D5">
                        <w:r>
                          <w:rPr>
                            <w:rFonts w:cs="Arial"/>
                            <w:color w:val="000000"/>
                            <w:sz w:val="20"/>
                            <w:szCs w:val="20"/>
                          </w:rPr>
                          <w:t>2015</w:t>
                        </w:r>
                      </w:p>
                    </w:txbxContent>
                  </v:textbox>
                </v:rect>
                <v:rect id="Rectangle 113" o:spid="_x0000_s1142" style="position:absolute;left:29070;top:25101;width:1695;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2E6059" w:rsidRDefault="002E6059" w:rsidP="00C939D5">
                        <w:r>
                          <w:rPr>
                            <w:rFonts w:cs="Arial"/>
                            <w:color w:val="000000"/>
                            <w:sz w:val="20"/>
                            <w:szCs w:val="20"/>
                          </w:rPr>
                          <w:t>Q1</w:t>
                        </w:r>
                      </w:p>
                    </w:txbxContent>
                  </v:textbox>
                </v:rect>
                <v:rect id="Rectangle 114" o:spid="_x0000_s1143" style="position:absolute;left:28505;top:26568;width:2825;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2E6059" w:rsidRDefault="002E6059" w:rsidP="00C939D5">
                        <w:r>
                          <w:rPr>
                            <w:rFonts w:cs="Arial"/>
                            <w:color w:val="000000"/>
                            <w:sz w:val="20"/>
                            <w:szCs w:val="20"/>
                          </w:rPr>
                          <w:t>2016</w:t>
                        </w:r>
                      </w:p>
                    </w:txbxContent>
                  </v:textbox>
                </v:rect>
                <v:rect id="Rectangle 115" o:spid="_x0000_s1144" style="position:absolute;left:33362;top:25101;width:169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2E6059" w:rsidRDefault="002E6059" w:rsidP="00C939D5">
                        <w:r>
                          <w:rPr>
                            <w:rFonts w:cs="Arial"/>
                            <w:color w:val="000000"/>
                            <w:sz w:val="20"/>
                            <w:szCs w:val="20"/>
                          </w:rPr>
                          <w:t>Q2</w:t>
                        </w:r>
                      </w:p>
                    </w:txbxContent>
                  </v:textbox>
                </v:rect>
                <v:rect id="Rectangle 116" o:spid="_x0000_s1145" style="position:absolute;left:32797;top:26568;width:282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2E6059" w:rsidRDefault="002E6059" w:rsidP="00C939D5">
                        <w:r>
                          <w:rPr>
                            <w:rFonts w:cs="Arial"/>
                            <w:color w:val="000000"/>
                            <w:sz w:val="20"/>
                            <w:szCs w:val="20"/>
                          </w:rPr>
                          <w:t>2016</w:t>
                        </w:r>
                      </w:p>
                    </w:txbxContent>
                  </v:textbox>
                </v:rect>
                <v:rect id="Rectangle 117" o:spid="_x0000_s1146" style="position:absolute;left:37649;top:25101;width:1695;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2E6059" w:rsidRDefault="002E6059" w:rsidP="00C939D5">
                        <w:r>
                          <w:rPr>
                            <w:rFonts w:cs="Arial"/>
                            <w:color w:val="000000"/>
                            <w:sz w:val="20"/>
                            <w:szCs w:val="20"/>
                          </w:rPr>
                          <w:t>Q3</w:t>
                        </w:r>
                      </w:p>
                    </w:txbxContent>
                  </v:textbox>
                </v:rect>
                <v:rect id="Rectangle 118" o:spid="_x0000_s1147" style="position:absolute;left:37090;top:26568;width:282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2E6059" w:rsidRDefault="002E6059" w:rsidP="00C939D5">
                        <w:r>
                          <w:rPr>
                            <w:rFonts w:cs="Arial"/>
                            <w:color w:val="000000"/>
                            <w:sz w:val="20"/>
                            <w:szCs w:val="20"/>
                          </w:rPr>
                          <w:t>2016</w:t>
                        </w:r>
                      </w:p>
                    </w:txbxContent>
                  </v:textbox>
                </v:rect>
                <v:rect id="Rectangle 119" o:spid="_x0000_s1148" style="position:absolute;left:41941;top:25101;width:169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2E6059" w:rsidRDefault="002E6059" w:rsidP="00C939D5">
                        <w:r>
                          <w:rPr>
                            <w:rFonts w:cs="Arial"/>
                            <w:color w:val="000000"/>
                            <w:sz w:val="20"/>
                            <w:szCs w:val="20"/>
                          </w:rPr>
                          <w:t>Q4</w:t>
                        </w:r>
                      </w:p>
                    </w:txbxContent>
                  </v:textbox>
                </v:rect>
                <v:rect id="Rectangle 120" o:spid="_x0000_s1149" style="position:absolute;left:41376;top:26568;width:282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2E6059" w:rsidRDefault="002E6059" w:rsidP="00C939D5">
                        <w:r>
                          <w:rPr>
                            <w:rFonts w:cs="Arial"/>
                            <w:color w:val="000000"/>
                            <w:sz w:val="20"/>
                            <w:szCs w:val="20"/>
                          </w:rPr>
                          <w:t>2016</w:t>
                        </w:r>
                      </w:p>
                    </w:txbxContent>
                  </v:textbox>
                </v:rect>
                <v:rect id="Rectangle 121" o:spid="_x0000_s1150" style="position:absolute;left:46234;top:25101;width:1695;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2E6059" w:rsidRDefault="002E6059" w:rsidP="00C939D5">
                        <w:r>
                          <w:rPr>
                            <w:rFonts w:cs="Arial"/>
                            <w:color w:val="000000"/>
                            <w:sz w:val="20"/>
                            <w:szCs w:val="20"/>
                          </w:rPr>
                          <w:t>Q1</w:t>
                        </w:r>
                      </w:p>
                    </w:txbxContent>
                  </v:textbox>
                </v:rect>
                <v:rect id="Rectangle 122" o:spid="_x0000_s1151" style="position:absolute;left:45669;top:26568;width:2825;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2E6059" w:rsidRDefault="002E6059" w:rsidP="00C939D5">
                        <w:r>
                          <w:rPr>
                            <w:rFonts w:cs="Arial"/>
                            <w:color w:val="000000"/>
                            <w:sz w:val="20"/>
                            <w:szCs w:val="20"/>
                          </w:rPr>
                          <w:t>2017</w:t>
                        </w:r>
                      </w:p>
                    </w:txbxContent>
                  </v:textbox>
                </v:rect>
                <v:rect id="Rectangle 123" o:spid="_x0000_s1152" style="position:absolute;left:1562;top:13785;width:457;height:1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2E6059" w:rsidRDefault="002E6059" w:rsidP="00C939D5">
                        <w:r>
                          <w:rPr>
                            <w:rFonts w:cs="Arial"/>
                            <w:color w:val="000000"/>
                            <w:sz w:val="2"/>
                            <w:szCs w:val="2"/>
                          </w:rPr>
                          <w:t>R billion</w:t>
                        </w:r>
                      </w:p>
                    </w:txbxContent>
                  </v:textbox>
                </v:rect>
                <v:shape id="Freeform 124" o:spid="_x0000_s1153" style="position:absolute;left:4013;top:29489;width:2718;height:273;visibility:visible;mso-wrap-style:square;v-text-anchor:top" coordsize="284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vUcMA&#10;AADcAAAADwAAAGRycy9kb3ducmV2LnhtbESPTWvDMAyG74P9B6PBLqN1usEYad3SDQo7pukGO4pY&#10;ddLGcrDdJvv31WGwm4Tej0erzeR7daWYusAGFvMCFHETbMfOwNdhN3sDlTKyxT4wGfilBJv1/d0K&#10;SxtG3tO1zk5JCKcSDbQ5D6XWqWnJY5qHgVhuxxA9Zlmj0zbiKOG+189F8ao9diwNLQ700VJzri9e&#10;en8O/aL27/k7uPhUUeVOzVgZ8/gwbZegMk35X/zn/rSC/yL48oxMo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UvUcMAAADcAAAADwAAAAAAAAAAAAAAAACYAgAAZHJzL2Rv&#10;d25yZXYueG1sUEsFBgAAAAAEAAQA9QAAAIgDAAAAAA==&#10;" path="m144,l2704,v80,,144,65,144,144c2848,224,2784,288,2704,288r-2560,c65,288,,224,,144,,65,65,,144,xe" fillcolor="#005d28" strokecolor="#005d28" strokeweight=".1pt">
                  <v:stroke joinstyle="bevel"/>
                  <v:path arrowok="t" o:connecttype="custom" o:connectlocs="13742,0;258038,0;271780,13653;258038,27305;13742,27305;0,13653;13742,0" o:connectangles="0,0,0,0,0,0,0"/>
                </v:shape>
                <v:shape id="Freeform 125" o:spid="_x0000_s1154" style="position:absolute;left:5111;top:29368;width:508;height:508;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b7L8A&#10;AADcAAAADwAAAGRycy9kb3ducmV2LnhtbERPTYvCMBC9C/6HMMLeNFVBl2oUEQSR9dC6eh6asa02&#10;k9JErf/eCIK3ebzPmS9bU4k7Na60rGA4iEAQZ1aXnCv4P2z6vyCcR9ZYWSYFT3KwXHQ7c4y1fXBC&#10;99TnIoSwi1FB4X0dS+myggy6ga2JA3e2jUEfYJNL3eAjhJtKjqJoIg2WHBoKrGldUHZNb0aBdZu9&#10;u2R/012qj4dTckJMGJX66bWrGQhPrf+KP+6tDvPHQ3g/Ey6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2ZvsvwAAANwAAAAPAAAAAAAAAAAAAAAAAJgCAABkcnMvZG93bnJl&#10;di54bWxQSwUGAAAAAAQABAD1AAAAhAMAAAAA&#10;" path="m40,l80,40,40,80,,40,40,xe" fillcolor="#3b4a1e" stroked="f">
                  <v:path arrowok="t" o:connecttype="custom" o:connectlocs="25400,0;50800,25400;25400,50800;0,25400;25400,0" o:connectangles="0,0,0,0,0"/>
                </v:shape>
                <v:shape id="Freeform 126" o:spid="_x0000_s1155" style="position:absolute;left:5060;top:29317;width:610;height:610;visibility:visible;mso-wrap-style:square;v-text-anchor:top" coordsize="639,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avcQA&#10;AADcAAAADwAAAGRycy9kb3ducmV2LnhtbERPS2vCQBC+C/6HZQq96UYLVaKrlIBSeijUF3gbstNs&#10;anY2ZFdN/PVdQfA2H99z5svWVuJCjS8dKxgNExDEudMlFwp229VgCsIHZI2VY1LQkYflot+bY6rd&#10;lX/osgmFiCHsU1RgQqhTKX1uyKIfupo4cr+usRgibAqpG7zGcFvJcZK8S4slxwaDNWWG8tPmbBXc&#10;/K7L5P5mjn/fX5Mumx5Gp+1aqdeX9mMGIlAbnuKH+1PH+W9juD8TL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i2r3EAAAA3AAAAA8AAAAAAAAAAAAAAAAAmAIAAGRycy9k&#10;b3ducmV2LnhtbFBLBQYAAAAABAAEAPUAAACJAwAAAAA=&#10;" path="m286,19c304,,335,,353,19l620,285v19,19,19,50,,68l353,620v-18,19,-49,19,-67,l19,353c,335,,304,19,285l286,19xm87,353r,-68l353,552r-67,l552,285r,68l286,87r67,l87,353xe" fillcolor="#3b4a1e" strokecolor="#3b4a1e" strokeweight=".1pt">
                  <v:stroke joinstyle="bevel"/>
                  <v:path arrowok="t" o:connecttype="custom" o:connectlocs="27284,1813;33676,1813;59147,27189;59147,33676;33676,59147;27284,59147;1813,33676;1813,27189;27284,1813;8300,33676;8300,27189;33676,52660;27284,52660;52660,27189;52660,33676;27284,8300;33676,8300;8300,33676" o:connectangles="0,0,0,0,0,0,0,0,0,0,0,0,0,0,0,0,0,0"/>
                  <o:lock v:ext="edit" verticies="t"/>
                </v:shape>
                <v:rect id="Rectangle 127" o:spid="_x0000_s1156" style="position:absolute;left:6851;top:29013;width:198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2E6059" w:rsidRDefault="002E6059" w:rsidP="00C939D5">
                        <w:r>
                          <w:rPr>
                            <w:rFonts w:cs="Arial"/>
                            <w:color w:val="000000"/>
                            <w:sz w:val="16"/>
                            <w:szCs w:val="16"/>
                          </w:rPr>
                          <w:t>Fuel</w:t>
                        </w:r>
                      </w:p>
                    </w:txbxContent>
                  </v:textbox>
                </v:rect>
                <v:shape id="Freeform 128" o:spid="_x0000_s1157" style="position:absolute;left:9836;top:29489;width:2711;height:273;visibility:visible;mso-wrap-style:square;v-text-anchor:top" coordsize="284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o7MQA&#10;AADcAAAADwAAAGRycy9kb3ducmV2LnhtbERPTWvCQBC9C/0PyxR6001UpEQ3oRQsQrGg9ZDjkB2z&#10;wexszG5N2l/fLRS8zeN9zqYYbStu1PvGsYJ0loAgrpxuuFZw+txOn0H4gKyxdUwKvslDkT9MNphp&#10;N/CBbsdQixjCPkMFJoQuk9JXhiz6meuII3d2vcUQYV9L3eMQw20r50mykhYbjg0GO3o1VF2OX1bB&#10;2+5w/UhMtVilP/tr6d/bgctUqafH8WUNItAY7uJ/907H+Ysl/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KKOzEAAAA3AAAAA8AAAAAAAAAAAAAAAAAmAIAAGRycy9k&#10;b3ducmV2LnhtbFBLBQYAAAAABAAEAPUAAACJAwAAAAA=&#10;" path="m144,l2704,v80,,144,65,144,144c2848,224,2784,288,2704,288r-2560,c65,288,,224,,144,,65,65,,144,xe" fillcolor="#825b32" strokecolor="#825b32" strokeweight=".1pt">
                  <v:stroke joinstyle="bevel"/>
                  <v:path arrowok="t" o:connecttype="custom" o:connectlocs="13710,0;257435,0;271145,13653;257435,27305;13710,27305;0,13653;13710,0" o:connectangles="0,0,0,0,0,0,0"/>
                </v:shape>
                <v:rect id="Rectangle 129" o:spid="_x0000_s1158" style="position:absolute;left:10947;top:29368;width:508;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DsIA&#10;AADcAAAADwAAAGRycy9kb3ducmV2LnhtbERPzWrCQBC+C77DMkJvurGlVlLXIBbTghe1fYAhO03S&#10;ZGfD7pqkb98tCN7m4/udTTaaVvTkfG1ZwXKRgCAurK65VPD1eZivQfiArLG1TAp+yUO2nU42mGo7&#10;8Jn6SyhFDGGfooIqhC6V0hcVGfQL2xFH7ts6gyFCV0rtcIjhppWPSbKSBmuODRV2tK+oaC5Xo6A8&#10;/ISTOTYv3ZD46/LN5+t3lyv1MBt3ryACjeEuvrk/dJz/9Az/z8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85EOwgAAANwAAAAPAAAAAAAAAAAAAAAAAJgCAABkcnMvZG93&#10;bnJldi54bWxQSwUGAAAAAAQABAD1AAAAhwMAAAAA&#10;" fillcolor="#fabe00" stroked="f"/>
                <v:shape id="Freeform 130" o:spid="_x0000_s1159" style="position:absolute;left:10902;top:29324;width:597;height:590;visibility:visible;mso-wrap-style:square;v-text-anchor:top" coordsize="62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56sIA&#10;AADcAAAADwAAAGRycy9kb3ducmV2LnhtbERPPWvDMBDdC/kP4gLdajkpmOBaDqVgSLs0TTJ0PKyL&#10;ZWKdHEux3X8fFQrd7vE+r9jOthMjDb51rGCVpCCIa6dbbhScjtXTBoQPyBo7x6Tghzxsy8VDgbl2&#10;E3/ReAiNiCHsc1RgQuhzKX1tyKJPXE8cubMbLIYIh0bqAacYbju5TtNMWmw5Nhjs6c1QfTncrIJ5&#10;U33brnrf8/VjvMnQ1+mn8Uo9LufXFxCB5vAv/nPvdJz/nMHvM/EC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qwgAAANwAAAAPAAAAAAAAAAAAAAAAAJgCAABkcnMvZG93&#10;bnJldi54bWxQSwUGAAAAAAQABAD1AAAAhwMAAAAA&#10;" path="m,48c,22,22,,48,l576,v27,,48,22,48,48l624,576v,27,-21,48,-48,48l48,624c22,624,,603,,576l,48xm96,576l48,528r528,l528,576r,-528l576,96,48,96,96,48r,528xe" fillcolor="#fabe00" strokecolor="#fabe00" strokeweight=".1pt">
                  <v:stroke joinstyle="bevel"/>
                  <v:path arrowok="t" o:connecttype="custom" o:connectlocs="0,4543;4592,0;55098,0;59690,4543;59690,54512;55098,59055;4592,59055;0,54512;0,4543;9183,54512;4592,49970;55098,49970;50507,54512;50507,4543;55098,9085;4592,9085;9183,4543;9183,54512" o:connectangles="0,0,0,0,0,0,0,0,0,0,0,0,0,0,0,0,0,0"/>
                  <o:lock v:ext="edit" verticies="t"/>
                </v:shape>
                <v:rect id="Rectangle 131" o:spid="_x0000_s1160" style="position:absolute;left:12687;top:29013;width:548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2E6059" w:rsidRDefault="002E6059" w:rsidP="00C939D5">
                        <w:r>
                          <w:rPr>
                            <w:rFonts w:cs="Arial"/>
                            <w:color w:val="000000"/>
                            <w:sz w:val="16"/>
                            <w:szCs w:val="16"/>
                          </w:rPr>
                          <w:t>Farm Feeds</w:t>
                        </w:r>
                      </w:p>
                    </w:txbxContent>
                  </v:textbox>
                </v:rect>
                <v:shape id="Freeform 132" o:spid="_x0000_s1161" style="position:absolute;left:19380;top:29489;width:2711;height:273;visibility:visible;mso-wrap-style:square;v-text-anchor:top" coordsize="284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kdMUA&#10;AADcAAAADwAAAGRycy9kb3ducmV2LnhtbESPQWvDMAyF74P+B6PCbqvTjpWS1S1lMNigO6zdYUfF&#10;VuKwWA6x26T/fjoMdpN4T+992u6n0KkrDamNbGC5KEAR2+habgx8nV8fNqBSRnbYRSYDN0qw383u&#10;tli6OPInXU+5URLCqUQDPue+1DpZTwHTIvbEotVxCJhlHRrtBhwlPHR6VRRrHbBlafDY04sn+3O6&#10;BAP1akz2u1pvLsf+o7a+ea+q/GTM/Xw6PIPKNOV/89/1mxP8R6GVZ2QC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iR0xQAAANwAAAAPAAAAAAAAAAAAAAAAAJgCAABkcnMv&#10;ZG93bnJldi54bWxQSwUGAAAAAAQABAD1AAAAigMAAAAA&#10;" path="m144,l2704,v80,,144,65,144,144c2848,224,2784,288,2704,288r-2560,c65,288,,224,,144,,65,65,,144,xe" fillcolor="#c3d69b" strokecolor="#c3d69b" strokeweight=".1pt">
                  <v:stroke joinstyle="bevel"/>
                  <v:path arrowok="t" o:connecttype="custom" o:connectlocs="13710,0;257435,0;271145,13653;257435,27305;13710,27305;0,13653;13710,0" o:connectangles="0,0,0,0,0,0,0"/>
                </v:shape>
                <v:shape id="Freeform 133" o:spid="_x0000_s1162" style="position:absolute;left:20478;top:29368;width:508;height:508;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D570A&#10;AADcAAAADwAAAGRycy9kb3ducmV2LnhtbERPzYrCMBC+C75DGMGbplVwtRqlCqJHrT7A0IxtsZmU&#10;Jtr69psFYW/z8f3OZtebWrypdZVlBfE0AkGcW11xoeB+O06WIJxH1lhbJgUfcrDbDgcbTLTt+Erv&#10;zBcihLBLUEHpfZNI6fKSDLqpbYgD97CtQR9gW0jdYhfCTS1nUbSQBisODSU2dCgpf2Yvo+ByLWQa&#10;GxN3P7Tg/UVz6k4npcajPl2D8NT7f/HXfdZh/nwFf8+EC+T2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inD570AAADcAAAADwAAAAAAAAAAAAAAAACYAgAAZHJzL2Rvd25yZXYu&#10;eG1sUEsFBgAAAAAEAAQA9QAAAIIDAAAAAA==&#10;" path="m40,l80,80,,80,40,xe" fillcolor="#9bbb59" stroked="f">
                  <v:path arrowok="t" o:connecttype="custom" o:connectlocs="25400,0;50800,50800;0,50800;25400,0" o:connectangles="0,0,0,0"/>
                </v:shape>
                <v:shape id="Freeform 134" o:spid="_x0000_s1163" style="position:absolute;left:20427;top:29324;width:604;height:597;visibility:visible;mso-wrap-style:square;v-text-anchor:top" coordsize="63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2cUA&#10;AADcAAAADwAAAGRycy9kb3ducmV2LnhtbESPQWvCQBCF7wX/wzJCL6VuLFUkzUbEIlh6Mha8TrPT&#10;JDQ7u2S3Gv+9cyh4m+G9ee+bYj26Xp1piJ1nA/NZBoq49rbjxsDXcfe8AhUTssXeMxm4UoR1OXko&#10;MLf+wgc6V6lREsIxRwNtSiHXOtYtOYwzH4hF+/GDwyTr0Gg74EXCXa9fsmypHXYsDS0G2rZU/1Z/&#10;zsCpjh+Lz9PiOyzD6mm/66p3H7fGPE7HzRuoRGO6m/+v91bwXwVfnpEJdH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8LZxQAAANwAAAAPAAAAAAAAAAAAAAAAAJgCAABkcnMv&#10;ZG93bnJldi54bWxQSwUGAAAAAAQABAD1AAAAigMAAAAA&#10;" path="m274,26c283,10,299,,317,v19,,35,10,43,26l627,560v7,15,7,32,-2,46c616,620,601,629,584,629r-533,c34,629,19,620,10,606,1,592,,575,8,560l274,26xm94,603l51,533r533,l541,603,274,69r86,l94,603xe" fillcolor="#98b954" strokecolor="#98b954" strokeweight=".1pt">
                  <v:stroke joinstyle="bevel"/>
                  <v:path arrowok="t" o:connecttype="custom" o:connectlocs="26071,2467;30163,0;34254,2467;59659,53142;59469,57507;55568,59690;4853,59690;951,57507;761,53142;26071,2467;8944,57223;4853,50580;55568,50580;51476,57223;26071,6548;34254,6548;8944,57223" o:connectangles="0,0,0,0,0,0,0,0,0,0,0,0,0,0,0,0,0"/>
                  <o:lock v:ext="edit" verticies="t"/>
                </v:shape>
                <v:rect id="Rectangle 135" o:spid="_x0000_s1164" style="position:absolute;left:22218;top:29013;width:389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2E6059" w:rsidRDefault="002E6059" w:rsidP="00C939D5">
                        <w:r>
                          <w:rPr>
                            <w:rFonts w:cs="Arial"/>
                            <w:color w:val="000000"/>
                            <w:sz w:val="16"/>
                            <w:szCs w:val="16"/>
                          </w:rPr>
                          <w:t>Fertiliser</w:t>
                        </w:r>
                      </w:p>
                    </w:txbxContent>
                  </v:textbox>
                </v:rect>
                <v:shape id="Freeform 136" o:spid="_x0000_s1165" style="position:absolute;left:27241;top:29489;width:2711;height:273;visibility:visible;mso-wrap-style:square;v-text-anchor:top" coordsize="284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KsMA&#10;AADcAAAADwAAAGRycy9kb3ducmV2LnhtbERPTWvCQBC9C/0PyxR6001sCRqzkaIEe/FQK4K3MTsm&#10;odnZmF01/fddodDbPN7nZMvBtOJGvWssK4gnEQji0uqGKwX7r2I8A+E8ssbWMin4IQfL/GmUYart&#10;nT/ptvOVCCHsUlRQe9+lUrqyJoNuYjviwJ1tb9AH2FdS93gP4aaV0yhKpMGGQ0ONHa1qKr93V6Ng&#10;vilOCfnissZjHK/lbH5IXrdKvTwP7wsQngb/L/5zf+gw/20Kj2fCB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NKsMAAADcAAAADwAAAAAAAAAAAAAAAACYAgAAZHJzL2Rv&#10;d25yZXYueG1sUEsFBgAAAAAEAAQA9QAAAIgDAAAAAA==&#10;" path="m144,l2704,v80,,144,65,144,144c2848,224,2784,288,2704,288r-2560,c65,288,,224,,144,,65,65,,144,xe" fillcolor="#e01f16" strokecolor="#e01f16" strokeweight=".1pt">
                  <v:stroke joinstyle="bevel"/>
                  <v:path arrowok="t" o:connecttype="custom" o:connectlocs="13710,0;257435,0;271145,13653;257435,27305;13710,27305;0,13653;13710,0" o:connectangles="0,0,0,0,0,0,0"/>
                </v:shape>
                <v:rect id="Rectangle 137" o:spid="_x0000_s1166" style="position:absolute;left:28340;top:29368;width:501;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aD8QA&#10;AADcAAAADwAAAGRycy9kb3ducmV2LnhtbERPTWvCQBC9F/oflin0UsymVopE1xBKK54qWoX2Nman&#10;SUh2NmTXGP+9Kwje5vE+Z54OphE9da6yrOA1ikEQ51ZXXCjY/XyNpiCcR9bYWCYFZ3KQLh4f5pho&#10;e+IN9VtfiBDCLkEFpfdtIqXLSzLoItsSB+7fdgZ9gF0hdYenEG4aOY7jd2mw4tBQYksfJeX19mgU&#10;HFZ1XH/687jYZMs9/Wbfcv33otTz05DNQHga/F18c690mD95g+sz4QK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A2g/EAAAA3AAAAA8AAAAAAAAAAAAAAAAAmAIAAGRycy9k&#10;b3ducmV2LnhtbFBLBQYAAAAABAAEAPUAAACJAwAAAAA=&#10;" fillcolor="#c00000" stroked="f"/>
                <v:shape id="Freeform 138" o:spid="_x0000_s1167" style="position:absolute;left:28295;top:29324;width:591;height:590;visibility:visible;mso-wrap-style:square;v-text-anchor:top" coordsize="62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vDMEA&#10;AADcAAAADwAAAGRycy9kb3ducmV2LnhtbERPzYrCMBC+C75DmAUvoqkiKrVRRFB2Dx78eYCxmU1L&#10;m0lpota33ywI3ubj+51s09laPKj1pWMFk3ECgjh3umSj4HrZj5YgfEDWWDsmBS/ysFn3exmm2j35&#10;RI9zMCKGsE9RQRFCk0rp84Is+rFriCP361qLIcLWSN3iM4bbWk6TZC4tlhwbCmxoV1Bene9Wwe5a&#10;0eE2NC+/2P4kF7mc748GlRp8ddsViEBd+Ijf7m8d589m8P9MvE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r7wzBAAAA3AAAAA8AAAAAAAAAAAAAAAAAmAIAAGRycy9kb3du&#10;cmV2LnhtbFBLBQYAAAAABAAEAPUAAACGAwAAAAA=&#10;" path="m,48c,22,22,,48,l576,v27,,48,22,48,48l624,576v,27,-21,48,-48,48l48,624c22,624,,603,,576l,48xm96,576l48,528r528,l528,576r,-528l576,96,48,96,96,48r,528xe" fillcolor="#c00000" strokecolor="#c00000" strokeweight=".1pt">
                  <v:stroke joinstyle="bevel"/>
                  <v:path arrowok="t" o:connecttype="custom" o:connectlocs="0,4543;4543,0;54512,0;59055,4543;59055,54512;54512,59055;4543,59055;0,54512;0,4543;9085,54512;4543,49970;54512,49970;49970,54512;49970,4543;54512,9085;4543,9085;9085,4543;9085,54512" o:connectangles="0,0,0,0,0,0,0,0,0,0,0,0,0,0,0,0,0,0"/>
                  <o:lock v:ext="edit" verticies="t"/>
                </v:shape>
                <v:rect id="Rectangle 139" o:spid="_x0000_s1168" style="position:absolute;left:30079;top:29013;width:76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2E6059" w:rsidRDefault="002E6059" w:rsidP="00C939D5">
                        <w:proofErr w:type="gramStart"/>
                        <w:r>
                          <w:rPr>
                            <w:rFonts w:cs="Arial"/>
                            <w:color w:val="000000"/>
                            <w:sz w:val="16"/>
                            <w:szCs w:val="16"/>
                          </w:rPr>
                          <w:t>seeds</w:t>
                        </w:r>
                        <w:proofErr w:type="gramEnd"/>
                        <w:r>
                          <w:rPr>
                            <w:rFonts w:cs="Arial"/>
                            <w:color w:val="000000"/>
                            <w:sz w:val="16"/>
                            <w:szCs w:val="16"/>
                          </w:rPr>
                          <w:t xml:space="preserve"> and plants</w:t>
                        </w:r>
                      </w:p>
                    </w:txbxContent>
                  </v:textbox>
                </v:rect>
                <v:shape id="Freeform 140" o:spid="_x0000_s1169" style="position:absolute;left:39096;top:29489;width:2712;height:273;visibility:visible;mso-wrap-style:square;v-text-anchor:top" coordsize="142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yksAA&#10;AADcAAAADwAAAGRycy9kb3ducmV2LnhtbERP22oCMRB9F/yHMIW+abYiIlujlILQB0Vr/YBhM3th&#10;N5OQpGb9+0YQ+jaHc53NbjSDuJEPnWUFb/MCBHFldceNguvPfrYGESKyxsEyKbhTgN12OtlgqW3i&#10;b7pdYiNyCIcSFbQxulLKULVkMMytI85cbb3BmKFvpPaYcrgZ5KIoVtJgx7mhRUefLVX95dco6Fy9&#10;Hvw5nlLtD32fXH88pKtSry/jxzuISGP8Fz/dXzrPX67g8Uy+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YyksAAAADcAAAADwAAAAAAAAAAAAAAAACYAgAAZHJzL2Rvd25y&#10;ZXYueG1sUEsFBgAAAAAEAAQA9QAAAIUDAAAAAA==&#10;" path="m72,l1352,v40,,72,33,72,72c1424,112,1392,144,1352,144l72,144c33,144,,112,,72,,33,33,,72,xe" fillcolor="#d8a851" strokecolor="#d8a851" strokeweight=".1pt">
                  <v:stroke joinstyle="bevel"/>
                  <v:path arrowok="t" o:connecttype="custom" o:connectlocs="13710,0;257435,0;271145,13653;257435,27305;13710,27305;0,13653;13710,0" o:connectangles="0,0,0,0,0,0,0"/>
                </v:shape>
                <v:shape id="Freeform 141" o:spid="_x0000_s1170" style="position:absolute;left:40151;top:29324;width:609;height:590;visibility:visible;mso-wrap-style:square;v-text-anchor:top" coordsize="9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OWcIA&#10;AADcAAAADwAAAGRycy9kb3ducmV2LnhtbERPTWvCQBC9C/6HZQredNMiVaJrCEJUKD2Ylp6H7JjE&#10;ZGfT7Brjv+8WCr3N433ONhlNKwbqXW1ZwfMiAkFcWF1zqeDzI5uvQTiPrLG1TAoe5CDZTSdbjLW9&#10;85mG3JcihLCLUUHlfRdL6YqKDLqF7YgDd7G9QR9gX0rd4z2Em1a+RNGrNFhzaKiwo31FRZPfjIJL&#10;/q7Tr+NbM2Z0XX8bJ08HOSg1exrTDQhPo/8X/7lPOsxfruD3mXC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Q5ZwgAAANwAAAAPAAAAAAAAAAAAAAAAAJgCAABkcnMvZG93&#10;bnJldi54bWxQSwUGAAAAAAQABAD1AAAAhwMAAAAA&#10;" path="m82,93l,14,14,,96,79,82,93xm57,7r,79l38,86,38,7r19,xm,79l82,,96,14,14,93,,79xe" fillcolor="#e46c0a" strokecolor="#e46c0a" strokeweight=".1pt">
                  <v:stroke joinstyle="bevel"/>
                  <v:path arrowok="t" o:connecttype="custom" o:connectlocs="52070,59055;0,8890;8890,0;60960,50165;52070,59055;36195,4445;36195,54610;24130,54610;24130,4445;36195,4445;0,50165;52070,0;60960,8890;8890,59055;0,50165" o:connectangles="0,0,0,0,0,0,0,0,0,0,0,0,0,0,0"/>
                  <o:lock v:ext="edit" verticies="t"/>
                </v:shape>
                <v:rect id="Rectangle 142" o:spid="_x0000_s1171" style="position:absolute;left:41941;top:29013;width:604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2E6059" w:rsidRDefault="002E6059" w:rsidP="00C939D5">
                        <w:proofErr w:type="gramStart"/>
                        <w:r>
                          <w:rPr>
                            <w:rFonts w:cs="Arial"/>
                            <w:color w:val="000000"/>
                            <w:sz w:val="16"/>
                            <w:szCs w:val="16"/>
                          </w:rPr>
                          <w:t>farm</w:t>
                        </w:r>
                        <w:proofErr w:type="gramEnd"/>
                        <w:r>
                          <w:rPr>
                            <w:rFonts w:cs="Arial"/>
                            <w:color w:val="000000"/>
                            <w:sz w:val="16"/>
                            <w:szCs w:val="16"/>
                          </w:rPr>
                          <w:t xml:space="preserve"> services</w:t>
                        </w:r>
                      </w:p>
                    </w:txbxContent>
                  </v:textbox>
                </v:rect>
                <v:rect id="Rectangle 143" o:spid="_x0000_s1172" style="position:absolute;left:107;top:107;width:51493;height:3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w88MA&#10;AADcAAAADwAAAGRycy9kb3ducmV2LnhtbERPS2vCQBC+F/wPywi9iG4sojZ1E4q06Ml3ob0N2Wk2&#10;NDsbsqum/74rCL3Nx/ecRd7ZWlyo9ZVjBeNRAoK4cLriUsHp+D6cg/ABWWPtmBT8koc86z0sMNXu&#10;ynu6HEIpYgj7FBWYEJpUSl8YsuhHriGO3LdrLYYI21LqFq8x3NbyKUmm0mLFscFgQ0tDxc/hbBUM&#10;io+vZj2R5nM12PpNmCU7vX9T6rHfvb6ACNSFf/HdvdZx/uQZbs/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ww88MAAADcAAAADwAAAAAAAAAAAAAAAACYAgAAZHJzL2Rv&#10;d25yZXYueG1sUEsFBgAAAAAEAAQA9QAAAIgDAAAAAA==&#10;" filled="f" strokecolor="#c3d69b" strokeweight="1.8pt">
                  <v:stroke joinstyle="round"/>
                </v:rect>
                <w10:anchorlock/>
              </v:group>
            </w:pict>
          </mc:Fallback>
        </mc:AlternateContent>
      </w:r>
    </w:p>
    <w:p w:rsidR="00EA37A6" w:rsidRPr="00EA37A6" w:rsidRDefault="00C939D5" w:rsidP="00F403F4">
      <w:pPr>
        <w:pStyle w:val="Heading3"/>
        <w:spacing w:before="0" w:line="240" w:lineRule="auto"/>
        <w:rPr>
          <w:rFonts w:eastAsia="Times New Roman"/>
          <w:lang w:val="en-GB" w:eastAsia="en-GB"/>
        </w:rPr>
      </w:pPr>
      <w:bookmarkStart w:id="111" w:name="_Toc489345754"/>
      <w:bookmarkStart w:id="112" w:name="_Toc489345959"/>
      <w:bookmarkStart w:id="113" w:name="_Toc489537714"/>
      <w:r w:rsidRPr="00EA37A6">
        <w:rPr>
          <w:rFonts w:eastAsia="Times New Roman"/>
          <w:b/>
          <w:lang w:val="en-GB" w:eastAsia="en-GB"/>
        </w:rPr>
        <w:t xml:space="preserve">Figure 12: </w:t>
      </w:r>
      <w:r w:rsidRPr="00EA37A6">
        <w:rPr>
          <w:rFonts w:eastAsia="Times New Roman"/>
          <w:lang w:val="en-GB" w:eastAsia="en-GB"/>
        </w:rPr>
        <w:t>Trends in the expenditure on fuel, farm feeds, fertilisers, seeds and plants and farm services</w:t>
      </w:r>
      <w:r w:rsidRPr="00EA37A6">
        <w:rPr>
          <w:rFonts w:eastAsia="Times New Roman"/>
          <w:lang w:val="en-GB"/>
        </w:rPr>
        <w:t xml:space="preserve"> between Q1 2015 and Q1 2017.</w:t>
      </w:r>
      <w:bookmarkEnd w:id="111"/>
      <w:bookmarkEnd w:id="112"/>
      <w:bookmarkEnd w:id="113"/>
      <w:r w:rsidRPr="00EA37A6">
        <w:rPr>
          <w:rFonts w:ascii="Times New Roman" w:eastAsia="Times New Roman" w:hAnsi="Times New Roman" w:cs="Times New Roman"/>
          <w:lang w:val="en-GB" w:eastAsia="en-GB"/>
        </w:rPr>
        <w:t xml:space="preserve">                           </w:t>
      </w:r>
    </w:p>
    <w:p w:rsidR="00EA37A6" w:rsidRPr="009437BF" w:rsidRDefault="00C939D5" w:rsidP="009437BF">
      <w:pPr>
        <w:rPr>
          <w:rFonts w:eastAsia="Times New Roman" w:cs="Arial"/>
          <w:szCs w:val="18"/>
          <w:lang w:val="en-GB" w:eastAsia="en-GB"/>
        </w:rPr>
      </w:pPr>
      <w:bookmarkStart w:id="114" w:name="_Toc489345755"/>
      <w:bookmarkStart w:id="115" w:name="_Toc489345960"/>
      <w:r w:rsidRPr="009437BF">
        <w:rPr>
          <w:rFonts w:eastAsia="Times New Roman" w:cs="Arial"/>
          <w:szCs w:val="18"/>
          <w:lang w:val="en-GB" w:eastAsia="en-GB"/>
        </w:rPr>
        <w:t>Source: DAFF</w:t>
      </w:r>
      <w:bookmarkEnd w:id="114"/>
      <w:bookmarkEnd w:id="115"/>
    </w:p>
    <w:p w:rsidR="00C04C03" w:rsidRDefault="00C939D5" w:rsidP="00F403F4">
      <w:pPr>
        <w:pStyle w:val="Heading2"/>
        <w:spacing w:line="360" w:lineRule="auto"/>
        <w:rPr>
          <w:rFonts w:eastAsia="Times New Roman"/>
          <w:lang w:val="en-GB" w:eastAsia="en-GB"/>
        </w:rPr>
      </w:pPr>
      <w:bookmarkStart w:id="116" w:name="_Toc489345756"/>
      <w:bookmarkStart w:id="117" w:name="_Toc489345961"/>
      <w:bookmarkStart w:id="118" w:name="_Toc489537715"/>
      <w:r w:rsidRPr="009F08C4">
        <w:rPr>
          <w:rFonts w:eastAsia="Times New Roman"/>
          <w:lang w:val="en-US"/>
        </w:rPr>
        <w:t xml:space="preserve">2.5 </w:t>
      </w:r>
      <w:r w:rsidRPr="009F08C4">
        <w:rPr>
          <w:rFonts w:eastAsia="Times New Roman"/>
          <w:lang w:val="en-US" w:eastAsia="en-GB"/>
        </w:rPr>
        <w:t>Nominal gross farm income and net farm income from agricultural products</w:t>
      </w:r>
      <w:bookmarkEnd w:id="116"/>
      <w:bookmarkEnd w:id="117"/>
      <w:bookmarkEnd w:id="118"/>
    </w:p>
    <w:p w:rsidR="00A87369" w:rsidRPr="00A87369" w:rsidRDefault="00A87369" w:rsidP="00F403F4">
      <w:pPr>
        <w:spacing w:line="360" w:lineRule="auto"/>
        <w:jc w:val="both"/>
        <w:rPr>
          <w:rFonts w:eastAsia="Times New Roman" w:cs="Arial"/>
          <w:sz w:val="24"/>
          <w:szCs w:val="24"/>
          <w:lang w:val="en-GB" w:eastAsia="en-US"/>
        </w:rPr>
      </w:pPr>
      <w:r w:rsidRPr="00A87369">
        <w:rPr>
          <w:rFonts w:eastAsia="Times New Roman" w:cs="Arial"/>
          <w:sz w:val="24"/>
          <w:szCs w:val="24"/>
          <w:lang w:val="en-GB" w:eastAsia="en-GB"/>
        </w:rPr>
        <w:t>The nominal real gross income from all agricultural products decreased from R59</w:t>
      </w:r>
      <w:r w:rsidR="00020B5E">
        <w:rPr>
          <w:rFonts w:eastAsia="Times New Roman" w:cs="Arial"/>
          <w:sz w:val="24"/>
          <w:szCs w:val="24"/>
          <w:lang w:val="en-GB" w:eastAsia="en-GB"/>
        </w:rPr>
        <w:t>,</w:t>
      </w:r>
      <w:r w:rsidRPr="00A87369">
        <w:rPr>
          <w:rFonts w:eastAsia="Times New Roman" w:cs="Arial"/>
          <w:sz w:val="24"/>
          <w:szCs w:val="24"/>
          <w:lang w:val="en-GB" w:eastAsia="en-GB"/>
        </w:rPr>
        <w:t>6 billion in the last quarter of 2016 to R55</w:t>
      </w:r>
      <w:r w:rsidR="00020B5E">
        <w:rPr>
          <w:rFonts w:eastAsia="Times New Roman" w:cs="Arial"/>
          <w:sz w:val="24"/>
          <w:szCs w:val="24"/>
          <w:lang w:val="en-GB" w:eastAsia="en-GB"/>
        </w:rPr>
        <w:t>,</w:t>
      </w:r>
      <w:r w:rsidRPr="00A87369">
        <w:rPr>
          <w:rFonts w:eastAsia="Times New Roman" w:cs="Arial"/>
          <w:sz w:val="24"/>
          <w:szCs w:val="24"/>
          <w:lang w:val="en-GB" w:eastAsia="en-GB"/>
        </w:rPr>
        <w:t>4 billion in the first quarter of 2017, a decrease of 7</w:t>
      </w:r>
      <w:r w:rsidR="00020B5E">
        <w:rPr>
          <w:rFonts w:eastAsia="Times New Roman" w:cs="Arial"/>
          <w:sz w:val="24"/>
          <w:szCs w:val="24"/>
          <w:lang w:val="en-GB" w:eastAsia="en-GB"/>
        </w:rPr>
        <w:t>,</w:t>
      </w:r>
      <w:r w:rsidRPr="00A87369">
        <w:rPr>
          <w:rFonts w:eastAsia="Times New Roman" w:cs="Arial"/>
          <w:sz w:val="24"/>
          <w:szCs w:val="24"/>
          <w:lang w:val="en-GB" w:eastAsia="en-GB"/>
        </w:rPr>
        <w:t>0%. This was largely supported by a decrease of 57</w:t>
      </w:r>
      <w:proofErr w:type="gramStart"/>
      <w:r w:rsidR="00020B5E">
        <w:rPr>
          <w:rFonts w:eastAsia="Times New Roman" w:cs="Arial"/>
          <w:sz w:val="24"/>
          <w:szCs w:val="24"/>
          <w:lang w:val="en-GB" w:eastAsia="en-GB"/>
        </w:rPr>
        <w:t>,</w:t>
      </w:r>
      <w:r w:rsidRPr="00A87369">
        <w:rPr>
          <w:rFonts w:eastAsia="Times New Roman" w:cs="Arial"/>
          <w:sz w:val="24"/>
          <w:szCs w:val="24"/>
          <w:lang w:val="en-GB" w:eastAsia="en-GB"/>
        </w:rPr>
        <w:t>8</w:t>
      </w:r>
      <w:proofErr w:type="gramEnd"/>
      <w:r w:rsidRPr="00A87369">
        <w:rPr>
          <w:rFonts w:eastAsia="Times New Roman" w:cs="Arial"/>
          <w:sz w:val="24"/>
          <w:szCs w:val="24"/>
          <w:lang w:val="en-GB" w:eastAsia="en-GB"/>
        </w:rPr>
        <w:t>% and 7</w:t>
      </w:r>
      <w:r w:rsidR="00020B5E">
        <w:rPr>
          <w:rFonts w:eastAsia="Times New Roman" w:cs="Arial"/>
          <w:sz w:val="24"/>
          <w:szCs w:val="24"/>
          <w:lang w:val="en-GB" w:eastAsia="en-GB"/>
        </w:rPr>
        <w:t>,</w:t>
      </w:r>
      <w:r w:rsidRPr="00A87369">
        <w:rPr>
          <w:rFonts w:eastAsia="Times New Roman" w:cs="Arial"/>
          <w:sz w:val="24"/>
          <w:szCs w:val="24"/>
          <w:lang w:val="en-GB" w:eastAsia="en-GB"/>
        </w:rPr>
        <w:t xml:space="preserve">9% in income from field crops and animal products. Meanwhile, income </w:t>
      </w:r>
      <w:proofErr w:type="gramStart"/>
      <w:r w:rsidRPr="00A87369">
        <w:rPr>
          <w:rFonts w:eastAsia="Times New Roman" w:cs="Arial"/>
          <w:sz w:val="24"/>
          <w:szCs w:val="24"/>
          <w:lang w:val="en-GB" w:eastAsia="en-GB"/>
        </w:rPr>
        <w:t>from  horticulture</w:t>
      </w:r>
      <w:proofErr w:type="gramEnd"/>
      <w:r w:rsidRPr="00A87369">
        <w:rPr>
          <w:rFonts w:eastAsia="Times New Roman" w:cs="Arial"/>
          <w:sz w:val="24"/>
          <w:szCs w:val="24"/>
          <w:lang w:val="en-GB" w:eastAsia="en-GB"/>
        </w:rPr>
        <w:t xml:space="preserve"> increased by 34</w:t>
      </w:r>
      <w:r w:rsidR="00020B5E">
        <w:rPr>
          <w:rFonts w:eastAsia="Times New Roman" w:cs="Arial"/>
          <w:sz w:val="24"/>
          <w:szCs w:val="24"/>
          <w:lang w:val="en-GB" w:eastAsia="en-GB"/>
        </w:rPr>
        <w:t>,</w:t>
      </w:r>
      <w:r w:rsidRPr="00A87369">
        <w:rPr>
          <w:rFonts w:eastAsia="Times New Roman" w:cs="Arial"/>
          <w:sz w:val="24"/>
          <w:szCs w:val="24"/>
          <w:lang w:val="en-GB" w:eastAsia="en-GB"/>
        </w:rPr>
        <w:t>6% between the two quarters. The significant decrease in income from field crops is attributed  to the decrease in income from canola, barley, oats, wheat, sugar cane, dry beans, grain sorghum and hay  which decreased by 99</w:t>
      </w:r>
      <w:r w:rsidR="00020B5E">
        <w:rPr>
          <w:rFonts w:eastAsia="Times New Roman" w:cs="Arial"/>
          <w:sz w:val="24"/>
          <w:szCs w:val="24"/>
          <w:lang w:val="en-GB" w:eastAsia="en-GB"/>
        </w:rPr>
        <w:t>,</w:t>
      </w:r>
      <w:r w:rsidRPr="00A87369">
        <w:rPr>
          <w:rFonts w:eastAsia="Times New Roman" w:cs="Arial"/>
          <w:sz w:val="24"/>
          <w:szCs w:val="24"/>
          <w:lang w:val="en-GB" w:eastAsia="en-GB"/>
        </w:rPr>
        <w:t>9%, 99</w:t>
      </w:r>
      <w:r w:rsidR="00020B5E">
        <w:rPr>
          <w:rFonts w:eastAsia="Times New Roman" w:cs="Arial"/>
          <w:sz w:val="24"/>
          <w:szCs w:val="24"/>
          <w:lang w:val="en-GB" w:eastAsia="en-GB"/>
        </w:rPr>
        <w:t>,</w:t>
      </w:r>
      <w:r w:rsidRPr="00A87369">
        <w:rPr>
          <w:rFonts w:eastAsia="Times New Roman" w:cs="Arial"/>
          <w:sz w:val="24"/>
          <w:szCs w:val="24"/>
          <w:lang w:val="en-GB" w:eastAsia="en-GB"/>
        </w:rPr>
        <w:t>8%, 87</w:t>
      </w:r>
      <w:r w:rsidR="00020B5E">
        <w:rPr>
          <w:rFonts w:eastAsia="Times New Roman" w:cs="Arial"/>
          <w:sz w:val="24"/>
          <w:szCs w:val="24"/>
          <w:lang w:val="en-GB" w:eastAsia="en-GB"/>
        </w:rPr>
        <w:t>,</w:t>
      </w:r>
      <w:r w:rsidRPr="00A87369">
        <w:rPr>
          <w:rFonts w:eastAsia="Times New Roman" w:cs="Arial"/>
          <w:sz w:val="24"/>
          <w:szCs w:val="24"/>
          <w:lang w:val="en-GB" w:eastAsia="en-GB"/>
        </w:rPr>
        <w:t>9%, 86</w:t>
      </w:r>
      <w:r w:rsidR="00020B5E">
        <w:rPr>
          <w:rFonts w:eastAsia="Times New Roman" w:cs="Arial"/>
          <w:sz w:val="24"/>
          <w:szCs w:val="24"/>
          <w:lang w:val="en-GB" w:eastAsia="en-GB"/>
        </w:rPr>
        <w:t>,</w:t>
      </w:r>
      <w:r w:rsidRPr="00A87369">
        <w:rPr>
          <w:rFonts w:eastAsia="Times New Roman" w:cs="Arial"/>
          <w:sz w:val="24"/>
          <w:szCs w:val="24"/>
          <w:lang w:val="en-GB" w:eastAsia="en-GB"/>
        </w:rPr>
        <w:t>5%, 78</w:t>
      </w:r>
      <w:r w:rsidR="00020B5E">
        <w:rPr>
          <w:rFonts w:eastAsia="Times New Roman" w:cs="Arial"/>
          <w:sz w:val="24"/>
          <w:szCs w:val="24"/>
          <w:lang w:val="en-GB" w:eastAsia="en-GB"/>
        </w:rPr>
        <w:t>,</w:t>
      </w:r>
      <w:r w:rsidRPr="00A87369">
        <w:rPr>
          <w:rFonts w:eastAsia="Times New Roman" w:cs="Arial"/>
          <w:sz w:val="24"/>
          <w:szCs w:val="24"/>
          <w:lang w:val="en-GB" w:eastAsia="en-GB"/>
        </w:rPr>
        <w:t>2%, 31</w:t>
      </w:r>
      <w:r w:rsidR="00020B5E">
        <w:rPr>
          <w:rFonts w:eastAsia="Times New Roman" w:cs="Arial"/>
          <w:sz w:val="24"/>
          <w:szCs w:val="24"/>
          <w:lang w:val="en-GB" w:eastAsia="en-GB"/>
        </w:rPr>
        <w:t>,</w:t>
      </w:r>
      <w:r w:rsidRPr="00A87369">
        <w:rPr>
          <w:rFonts w:eastAsia="Times New Roman" w:cs="Arial"/>
          <w:sz w:val="24"/>
          <w:szCs w:val="24"/>
          <w:lang w:val="en-GB" w:eastAsia="en-GB"/>
        </w:rPr>
        <w:t>4%, 23</w:t>
      </w:r>
      <w:r w:rsidR="00020B5E">
        <w:rPr>
          <w:rFonts w:eastAsia="Times New Roman" w:cs="Arial"/>
          <w:sz w:val="24"/>
          <w:szCs w:val="24"/>
          <w:lang w:val="en-GB" w:eastAsia="en-GB"/>
        </w:rPr>
        <w:t>,</w:t>
      </w:r>
      <w:r w:rsidRPr="00A87369">
        <w:rPr>
          <w:rFonts w:eastAsia="Times New Roman" w:cs="Arial"/>
          <w:sz w:val="24"/>
          <w:szCs w:val="24"/>
          <w:lang w:val="en-GB" w:eastAsia="en-GB"/>
        </w:rPr>
        <w:t>8% and 20</w:t>
      </w:r>
      <w:r w:rsidR="00020B5E">
        <w:rPr>
          <w:rFonts w:eastAsia="Times New Roman" w:cs="Arial"/>
          <w:sz w:val="24"/>
          <w:szCs w:val="24"/>
          <w:lang w:val="en-GB" w:eastAsia="en-GB"/>
        </w:rPr>
        <w:t>,</w:t>
      </w:r>
      <w:r w:rsidRPr="00A87369">
        <w:rPr>
          <w:rFonts w:eastAsia="Times New Roman" w:cs="Arial"/>
          <w:sz w:val="24"/>
          <w:szCs w:val="24"/>
          <w:lang w:val="en-GB" w:eastAsia="en-GB"/>
        </w:rPr>
        <w:t>1% respectively</w:t>
      </w:r>
      <w:r w:rsidRPr="00A87369">
        <w:rPr>
          <w:rFonts w:eastAsia="Times New Roman" w:cs="Arial"/>
          <w:sz w:val="24"/>
          <w:szCs w:val="24"/>
          <w:lang w:val="en-GB" w:eastAsia="en-US"/>
        </w:rPr>
        <w:t xml:space="preserve">. </w:t>
      </w:r>
      <w:r w:rsidRPr="00A87369">
        <w:rPr>
          <w:rFonts w:eastAsia="Times New Roman" w:cs="Arial"/>
          <w:sz w:val="24"/>
          <w:szCs w:val="24"/>
          <w:lang w:val="en-GB" w:eastAsia="en-GB"/>
        </w:rPr>
        <w:t>The slight decreased of 7</w:t>
      </w:r>
      <w:proofErr w:type="gramStart"/>
      <w:r w:rsidR="00020B5E">
        <w:rPr>
          <w:rFonts w:eastAsia="Times New Roman" w:cs="Arial"/>
          <w:sz w:val="24"/>
          <w:szCs w:val="24"/>
          <w:lang w:val="en-GB" w:eastAsia="en-GB"/>
        </w:rPr>
        <w:t>,</w:t>
      </w:r>
      <w:r w:rsidRPr="00A87369">
        <w:rPr>
          <w:rFonts w:eastAsia="Times New Roman" w:cs="Arial"/>
          <w:sz w:val="24"/>
          <w:szCs w:val="24"/>
          <w:lang w:val="en-GB" w:eastAsia="en-GB"/>
        </w:rPr>
        <w:t>9</w:t>
      </w:r>
      <w:proofErr w:type="gramEnd"/>
      <w:r w:rsidRPr="00A87369">
        <w:rPr>
          <w:rFonts w:eastAsia="Times New Roman" w:cs="Arial"/>
          <w:sz w:val="24"/>
          <w:szCs w:val="24"/>
          <w:lang w:val="en-GB" w:eastAsia="en-GB"/>
        </w:rPr>
        <w:t>% in income from animal products was supported by a decrease in income from wool, sheep slaughtered and milk which decreased by 41</w:t>
      </w:r>
      <w:r w:rsidR="00020B5E">
        <w:rPr>
          <w:rFonts w:eastAsia="Times New Roman" w:cs="Arial"/>
          <w:sz w:val="24"/>
          <w:szCs w:val="24"/>
          <w:lang w:val="en-GB" w:eastAsia="en-GB"/>
        </w:rPr>
        <w:t>,</w:t>
      </w:r>
      <w:r w:rsidRPr="00A87369">
        <w:rPr>
          <w:rFonts w:eastAsia="Times New Roman" w:cs="Arial"/>
          <w:sz w:val="24"/>
          <w:szCs w:val="24"/>
          <w:lang w:val="en-GB" w:eastAsia="en-GB"/>
        </w:rPr>
        <w:t>6%, 29</w:t>
      </w:r>
      <w:r w:rsidR="00020B5E">
        <w:rPr>
          <w:rFonts w:eastAsia="Times New Roman" w:cs="Arial"/>
          <w:sz w:val="24"/>
          <w:szCs w:val="24"/>
          <w:lang w:val="en-GB" w:eastAsia="en-GB"/>
        </w:rPr>
        <w:t>,</w:t>
      </w:r>
      <w:r w:rsidRPr="00A87369">
        <w:rPr>
          <w:rFonts w:eastAsia="Times New Roman" w:cs="Arial"/>
          <w:sz w:val="24"/>
          <w:szCs w:val="24"/>
          <w:lang w:val="en-GB" w:eastAsia="en-GB"/>
        </w:rPr>
        <w:t>5% and 17</w:t>
      </w:r>
      <w:r w:rsidR="00020B5E">
        <w:rPr>
          <w:rFonts w:eastAsia="Times New Roman" w:cs="Arial"/>
          <w:sz w:val="24"/>
          <w:szCs w:val="24"/>
          <w:lang w:val="en-GB" w:eastAsia="en-GB"/>
        </w:rPr>
        <w:t>,</w:t>
      </w:r>
      <w:r w:rsidRPr="00A87369">
        <w:rPr>
          <w:rFonts w:eastAsia="Times New Roman" w:cs="Arial"/>
          <w:sz w:val="24"/>
          <w:szCs w:val="24"/>
          <w:lang w:val="en-GB" w:eastAsia="en-GB"/>
        </w:rPr>
        <w:t>8% respectively between the two quarters. During the same period the increase of 34</w:t>
      </w:r>
      <w:r w:rsidR="00020B5E">
        <w:rPr>
          <w:rFonts w:eastAsia="Times New Roman" w:cs="Arial"/>
          <w:sz w:val="24"/>
          <w:szCs w:val="24"/>
          <w:lang w:val="en-GB" w:eastAsia="en-GB"/>
        </w:rPr>
        <w:t>,</w:t>
      </w:r>
      <w:r w:rsidRPr="00A87369">
        <w:rPr>
          <w:rFonts w:eastAsia="Times New Roman" w:cs="Arial"/>
          <w:sz w:val="24"/>
          <w:szCs w:val="24"/>
          <w:lang w:val="en-GB" w:eastAsia="en-GB"/>
        </w:rPr>
        <w:t>6% in income from horticulture was due to a significant increase in income from dried fruit and citrus fruit which increased by 173128</w:t>
      </w:r>
      <w:r w:rsidR="00020B5E">
        <w:rPr>
          <w:rFonts w:eastAsia="Times New Roman" w:cs="Arial"/>
          <w:sz w:val="24"/>
          <w:szCs w:val="24"/>
          <w:lang w:val="en-GB" w:eastAsia="en-GB"/>
        </w:rPr>
        <w:t>,</w:t>
      </w:r>
      <w:r w:rsidRPr="00A87369">
        <w:rPr>
          <w:rFonts w:eastAsia="Times New Roman" w:cs="Arial"/>
          <w:sz w:val="24"/>
          <w:szCs w:val="24"/>
          <w:lang w:val="en-GB" w:eastAsia="en-GB"/>
        </w:rPr>
        <w:t>0% and 144</w:t>
      </w:r>
      <w:r w:rsidR="00020B5E">
        <w:rPr>
          <w:rFonts w:eastAsia="Times New Roman" w:cs="Arial"/>
          <w:sz w:val="24"/>
          <w:szCs w:val="24"/>
          <w:lang w:val="en-GB" w:eastAsia="en-GB"/>
        </w:rPr>
        <w:t>,</w:t>
      </w:r>
      <w:r w:rsidRPr="00A87369">
        <w:rPr>
          <w:rFonts w:eastAsia="Times New Roman" w:cs="Arial"/>
          <w:sz w:val="24"/>
          <w:szCs w:val="24"/>
          <w:lang w:val="en-GB" w:eastAsia="en-GB"/>
        </w:rPr>
        <w:t>2% respectively. While income from deciduous and other fruits increased by 90</w:t>
      </w:r>
      <w:proofErr w:type="gramStart"/>
      <w:r w:rsidR="00020B5E">
        <w:rPr>
          <w:rFonts w:eastAsia="Times New Roman" w:cs="Arial"/>
          <w:sz w:val="24"/>
          <w:szCs w:val="24"/>
          <w:lang w:val="en-GB" w:eastAsia="en-GB"/>
        </w:rPr>
        <w:t>,</w:t>
      </w:r>
      <w:r w:rsidRPr="00A87369">
        <w:rPr>
          <w:rFonts w:eastAsia="Times New Roman" w:cs="Arial"/>
          <w:sz w:val="24"/>
          <w:szCs w:val="24"/>
          <w:lang w:val="en-GB" w:eastAsia="en-GB"/>
        </w:rPr>
        <w:t>8</w:t>
      </w:r>
      <w:proofErr w:type="gramEnd"/>
      <w:r w:rsidRPr="00A87369">
        <w:rPr>
          <w:rFonts w:eastAsia="Times New Roman" w:cs="Arial"/>
          <w:sz w:val="24"/>
          <w:szCs w:val="24"/>
          <w:lang w:val="en-GB" w:eastAsia="en-GB"/>
        </w:rPr>
        <w:t>%, while tea increased by 48</w:t>
      </w:r>
      <w:r w:rsidR="00020B5E">
        <w:rPr>
          <w:rFonts w:eastAsia="Times New Roman" w:cs="Arial"/>
          <w:sz w:val="24"/>
          <w:szCs w:val="24"/>
          <w:lang w:val="en-GB" w:eastAsia="en-GB"/>
        </w:rPr>
        <w:t>,</w:t>
      </w:r>
      <w:r w:rsidRPr="00A87369">
        <w:rPr>
          <w:rFonts w:eastAsia="Times New Roman" w:cs="Arial"/>
          <w:sz w:val="24"/>
          <w:szCs w:val="24"/>
          <w:lang w:val="en-GB" w:eastAsia="en-GB"/>
        </w:rPr>
        <w:t>1%. Compared to a year ago r</w:t>
      </w:r>
      <w:r w:rsidRPr="00A87369">
        <w:rPr>
          <w:rFonts w:eastAsia="Times New Roman" w:cs="Arial"/>
          <w:sz w:val="24"/>
          <w:szCs w:val="24"/>
          <w:lang w:val="en-GB" w:eastAsia="en-US"/>
        </w:rPr>
        <w:t>eal gross farm income from all agricultural products increased by 4</w:t>
      </w:r>
      <w:proofErr w:type="gramStart"/>
      <w:r w:rsidR="00020B5E">
        <w:rPr>
          <w:rFonts w:eastAsia="Times New Roman" w:cs="Arial"/>
          <w:sz w:val="24"/>
          <w:szCs w:val="24"/>
          <w:lang w:val="en-GB" w:eastAsia="en-US"/>
        </w:rPr>
        <w:t>,</w:t>
      </w:r>
      <w:r w:rsidRPr="00A87369">
        <w:rPr>
          <w:rFonts w:eastAsia="Times New Roman" w:cs="Arial"/>
          <w:sz w:val="24"/>
          <w:szCs w:val="24"/>
          <w:lang w:val="en-GB" w:eastAsia="en-US"/>
        </w:rPr>
        <w:t>6</w:t>
      </w:r>
      <w:proofErr w:type="gramEnd"/>
      <w:r w:rsidRPr="00A87369">
        <w:rPr>
          <w:rFonts w:eastAsia="Times New Roman" w:cs="Arial"/>
          <w:sz w:val="24"/>
          <w:szCs w:val="24"/>
          <w:lang w:val="en-GB" w:eastAsia="en-US"/>
        </w:rPr>
        <w:t>% in the first quarter of 2017 compared to same quarter of 2016. During this period, the increase was largely supported by an increase in income from field crops and animal products which increased by 10</w:t>
      </w:r>
      <w:proofErr w:type="gramStart"/>
      <w:r w:rsidR="00020B5E">
        <w:rPr>
          <w:rFonts w:eastAsia="Times New Roman" w:cs="Arial"/>
          <w:sz w:val="24"/>
          <w:szCs w:val="24"/>
          <w:lang w:val="en-GB" w:eastAsia="en-US"/>
        </w:rPr>
        <w:t>,</w:t>
      </w:r>
      <w:r w:rsidRPr="00A87369">
        <w:rPr>
          <w:rFonts w:eastAsia="Times New Roman" w:cs="Arial"/>
          <w:sz w:val="24"/>
          <w:szCs w:val="24"/>
          <w:lang w:val="en-GB" w:eastAsia="en-US"/>
        </w:rPr>
        <w:t>0</w:t>
      </w:r>
      <w:proofErr w:type="gramEnd"/>
      <w:r w:rsidRPr="00A87369">
        <w:rPr>
          <w:rFonts w:eastAsia="Times New Roman" w:cs="Arial"/>
          <w:sz w:val="24"/>
          <w:szCs w:val="24"/>
          <w:lang w:val="en-GB" w:eastAsia="en-US"/>
        </w:rPr>
        <w:t>% and 8</w:t>
      </w:r>
      <w:r w:rsidR="00020B5E">
        <w:rPr>
          <w:rFonts w:eastAsia="Times New Roman" w:cs="Arial"/>
          <w:sz w:val="24"/>
          <w:szCs w:val="24"/>
          <w:lang w:val="en-GB" w:eastAsia="en-US"/>
        </w:rPr>
        <w:t>,</w:t>
      </w:r>
      <w:r w:rsidRPr="00A87369">
        <w:rPr>
          <w:rFonts w:eastAsia="Times New Roman" w:cs="Arial"/>
          <w:sz w:val="24"/>
          <w:szCs w:val="24"/>
          <w:lang w:val="en-GB" w:eastAsia="en-US"/>
        </w:rPr>
        <w:t>6% respectively, while income from horticulture decreased by 2</w:t>
      </w:r>
      <w:r w:rsidR="00020B5E">
        <w:rPr>
          <w:rFonts w:eastAsia="Times New Roman" w:cs="Arial"/>
          <w:sz w:val="24"/>
          <w:szCs w:val="24"/>
          <w:lang w:val="en-GB" w:eastAsia="en-US"/>
        </w:rPr>
        <w:t>,</w:t>
      </w:r>
      <w:r w:rsidRPr="00A87369">
        <w:rPr>
          <w:rFonts w:eastAsia="Times New Roman" w:cs="Arial"/>
          <w:sz w:val="24"/>
          <w:szCs w:val="24"/>
          <w:lang w:val="en-GB" w:eastAsia="en-US"/>
        </w:rPr>
        <w:t>4%.</w:t>
      </w:r>
    </w:p>
    <w:p w:rsidR="00A87369" w:rsidRPr="00A87369" w:rsidRDefault="00A87369" w:rsidP="002D3BFD">
      <w:pPr>
        <w:spacing w:after="0" w:line="240" w:lineRule="auto"/>
        <w:jc w:val="both"/>
        <w:rPr>
          <w:rFonts w:eastAsia="Times New Roman" w:cs="Arial"/>
          <w:sz w:val="24"/>
          <w:szCs w:val="24"/>
          <w:lang w:val="en-GB" w:eastAsia="en-US"/>
        </w:rPr>
      </w:pPr>
      <w:r w:rsidRPr="00A87369">
        <w:rPr>
          <w:rFonts w:eastAsia="Times New Roman" w:cs="Arial"/>
          <w:noProof/>
          <w:sz w:val="24"/>
          <w:szCs w:val="24"/>
        </w:rPr>
        <w:drawing>
          <wp:inline distT="0" distB="0" distL="0" distR="0" wp14:anchorId="527214B1" wp14:editId="7D90A496">
            <wp:extent cx="5210175" cy="2943225"/>
            <wp:effectExtent l="19050" t="0" r="9525" b="0"/>
            <wp:docPr id="16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87369" w:rsidRPr="00203CD9" w:rsidRDefault="00A87369" w:rsidP="002D3BFD">
      <w:pPr>
        <w:pStyle w:val="Heading3"/>
        <w:spacing w:before="0" w:line="240" w:lineRule="auto"/>
        <w:rPr>
          <w:rFonts w:eastAsia="Times New Roman"/>
          <w:sz w:val="24"/>
          <w:szCs w:val="24"/>
          <w:lang w:val="en-GB" w:eastAsia="en-US"/>
        </w:rPr>
      </w:pPr>
      <w:r w:rsidRPr="00A87369">
        <w:rPr>
          <w:rFonts w:eastAsia="Times New Roman"/>
          <w:sz w:val="24"/>
          <w:szCs w:val="24"/>
          <w:lang w:val="en-GB" w:eastAsia="en-US"/>
        </w:rPr>
        <w:t xml:space="preserve"> </w:t>
      </w:r>
      <w:bookmarkStart w:id="119" w:name="_Toc489345757"/>
      <w:bookmarkStart w:id="120" w:name="_Toc489345962"/>
      <w:bookmarkStart w:id="121" w:name="_Toc489537716"/>
      <w:r w:rsidRPr="00A87369">
        <w:rPr>
          <w:rFonts w:eastAsia="Times New Roman"/>
          <w:b/>
          <w:lang w:val="en-GB" w:eastAsia="en-US"/>
        </w:rPr>
        <w:t>Figure 1</w:t>
      </w:r>
      <w:r w:rsidR="00203CD9">
        <w:rPr>
          <w:rFonts w:eastAsia="Times New Roman"/>
          <w:b/>
          <w:lang w:val="en-GB" w:eastAsia="en-US"/>
        </w:rPr>
        <w:t>3</w:t>
      </w:r>
      <w:r w:rsidRPr="00203CD9">
        <w:rPr>
          <w:rFonts w:eastAsia="Times New Roman"/>
          <w:lang w:val="en-GB" w:eastAsia="en-US"/>
        </w:rPr>
        <w:t>: Trends in nominal gross farm income between 2015 and 2017.</w:t>
      </w:r>
      <w:bookmarkEnd w:id="119"/>
      <w:bookmarkEnd w:id="120"/>
      <w:bookmarkEnd w:id="121"/>
      <w:r w:rsidRPr="00203CD9">
        <w:rPr>
          <w:rFonts w:ascii="Times New Roman" w:eastAsia="Times New Roman" w:hAnsi="Times New Roman" w:cs="Times New Roman"/>
          <w:lang w:val="en-GB" w:eastAsia="en-GB"/>
        </w:rPr>
        <w:t xml:space="preserve">                           </w:t>
      </w:r>
    </w:p>
    <w:p w:rsidR="00A87369" w:rsidRPr="009437BF" w:rsidRDefault="00A87369" w:rsidP="009437BF">
      <w:pPr>
        <w:rPr>
          <w:rFonts w:eastAsia="Times New Roman" w:cs="Arial"/>
          <w:szCs w:val="18"/>
          <w:lang w:val="en-GB" w:eastAsia="en-GB"/>
        </w:rPr>
      </w:pPr>
      <w:bookmarkStart w:id="122" w:name="_Toc489345758"/>
      <w:bookmarkStart w:id="123" w:name="_Toc489345963"/>
      <w:r w:rsidRPr="009437BF">
        <w:rPr>
          <w:rFonts w:eastAsia="Times New Roman" w:cs="Arial"/>
          <w:szCs w:val="18"/>
          <w:lang w:val="en-GB" w:eastAsia="en-GB"/>
        </w:rPr>
        <w:t>Source: DAFF</w:t>
      </w:r>
      <w:bookmarkEnd w:id="122"/>
      <w:bookmarkEnd w:id="123"/>
    </w:p>
    <w:p w:rsidR="00A87369" w:rsidRPr="00A87369" w:rsidRDefault="00A87369" w:rsidP="000A713E">
      <w:pPr>
        <w:pStyle w:val="Heading2"/>
        <w:spacing w:line="360" w:lineRule="auto"/>
        <w:rPr>
          <w:rFonts w:eastAsia="Times New Roman"/>
          <w:lang w:val="en-GB" w:eastAsia="en-US"/>
        </w:rPr>
      </w:pPr>
      <w:bookmarkStart w:id="124" w:name="_Toc489345759"/>
      <w:bookmarkStart w:id="125" w:name="_Toc489345964"/>
      <w:bookmarkStart w:id="126" w:name="_Toc489537717"/>
      <w:r w:rsidRPr="00A87369">
        <w:rPr>
          <w:rFonts w:eastAsia="Times New Roman"/>
          <w:lang w:val="en-GB" w:eastAsia="en-US"/>
        </w:rPr>
        <w:t>2.6 The net farm Income</w:t>
      </w:r>
      <w:bookmarkEnd w:id="124"/>
      <w:bookmarkEnd w:id="125"/>
      <w:bookmarkEnd w:id="126"/>
      <w:r w:rsidRPr="00A87369">
        <w:rPr>
          <w:rFonts w:eastAsia="Times New Roman"/>
          <w:lang w:val="en-GB" w:eastAsia="en-US"/>
        </w:rPr>
        <w:t xml:space="preserve"> </w:t>
      </w:r>
    </w:p>
    <w:p w:rsidR="00A87369" w:rsidRDefault="000752FD" w:rsidP="000A713E">
      <w:pPr>
        <w:spacing w:after="0" w:line="360" w:lineRule="auto"/>
        <w:jc w:val="both"/>
        <w:rPr>
          <w:rFonts w:eastAsia="Times New Roman" w:cs="Arial"/>
          <w:sz w:val="24"/>
          <w:szCs w:val="24"/>
          <w:lang w:val="en-GB" w:eastAsia="en-US"/>
        </w:rPr>
      </w:pPr>
      <w:r>
        <w:rPr>
          <w:rFonts w:eastAsia="Times New Roman" w:cs="Arial"/>
          <w:sz w:val="24"/>
          <w:szCs w:val="24"/>
          <w:lang w:val="en-GB" w:eastAsia="en-US"/>
        </w:rPr>
        <w:t>F</w:t>
      </w:r>
      <w:r w:rsidR="00A87369" w:rsidRPr="00A87369">
        <w:rPr>
          <w:rFonts w:eastAsia="Times New Roman" w:cs="Arial"/>
          <w:sz w:val="24"/>
          <w:szCs w:val="24"/>
          <w:lang w:val="en-GB" w:eastAsia="en-US"/>
        </w:rPr>
        <w:t>igure</w:t>
      </w:r>
      <w:r>
        <w:rPr>
          <w:rFonts w:eastAsia="Times New Roman" w:cs="Arial"/>
          <w:sz w:val="24"/>
          <w:szCs w:val="24"/>
          <w:lang w:val="en-GB" w:eastAsia="en-US"/>
        </w:rPr>
        <w:t>14</w:t>
      </w:r>
      <w:r w:rsidR="00A87369" w:rsidRPr="00A87369">
        <w:rPr>
          <w:rFonts w:eastAsia="Times New Roman" w:cs="Arial"/>
          <w:sz w:val="24"/>
          <w:szCs w:val="24"/>
          <w:lang w:val="en-GB" w:eastAsia="en-US"/>
        </w:rPr>
        <w:t xml:space="preserve"> illustrate</w:t>
      </w:r>
      <w:r w:rsidR="00A275CC">
        <w:rPr>
          <w:rFonts w:eastAsia="Times New Roman" w:cs="Arial"/>
          <w:sz w:val="24"/>
          <w:szCs w:val="24"/>
          <w:lang w:val="en-GB" w:eastAsia="en-US"/>
        </w:rPr>
        <w:t>s</w:t>
      </w:r>
      <w:r w:rsidR="00A87369" w:rsidRPr="00A87369">
        <w:rPr>
          <w:rFonts w:eastAsia="Times New Roman" w:cs="Arial"/>
          <w:sz w:val="24"/>
          <w:szCs w:val="24"/>
          <w:lang w:val="en-GB" w:eastAsia="en-US"/>
        </w:rPr>
        <w:t xml:space="preserve"> the net farm income trends between 2015 and 2017. The net farm income is estimated at R16</w:t>
      </w:r>
      <w:r w:rsidR="00A275CC">
        <w:rPr>
          <w:rFonts w:eastAsia="Times New Roman" w:cs="Arial"/>
          <w:sz w:val="24"/>
          <w:szCs w:val="24"/>
          <w:lang w:val="en-GB" w:eastAsia="en-US"/>
        </w:rPr>
        <w:t>,</w:t>
      </w:r>
      <w:r w:rsidR="00A87369" w:rsidRPr="00A87369">
        <w:rPr>
          <w:rFonts w:eastAsia="Times New Roman" w:cs="Arial"/>
          <w:sz w:val="24"/>
          <w:szCs w:val="24"/>
          <w:lang w:val="en-GB" w:eastAsia="en-US"/>
        </w:rPr>
        <w:t>7 billion in the first quarter of 2017 compared to R15</w:t>
      </w:r>
      <w:r w:rsidR="00A275CC">
        <w:rPr>
          <w:rFonts w:eastAsia="Times New Roman" w:cs="Arial"/>
          <w:sz w:val="24"/>
          <w:szCs w:val="24"/>
          <w:lang w:val="en-GB" w:eastAsia="en-US"/>
        </w:rPr>
        <w:t>,</w:t>
      </w:r>
      <w:r w:rsidR="00A87369" w:rsidRPr="00A87369">
        <w:rPr>
          <w:rFonts w:eastAsia="Times New Roman" w:cs="Arial"/>
          <w:sz w:val="24"/>
          <w:szCs w:val="24"/>
          <w:lang w:val="en-GB" w:eastAsia="en-US"/>
        </w:rPr>
        <w:t>7 billion in the same quarter of 2016, an increase of 6</w:t>
      </w:r>
      <w:r w:rsidR="00A275CC">
        <w:rPr>
          <w:rFonts w:eastAsia="Times New Roman" w:cs="Arial"/>
          <w:sz w:val="24"/>
          <w:szCs w:val="24"/>
          <w:lang w:val="en-GB" w:eastAsia="en-US"/>
        </w:rPr>
        <w:t>,</w:t>
      </w:r>
      <w:r w:rsidR="00A87369" w:rsidRPr="00A87369">
        <w:rPr>
          <w:rFonts w:eastAsia="Times New Roman" w:cs="Arial"/>
          <w:sz w:val="24"/>
          <w:szCs w:val="24"/>
          <w:lang w:val="en-GB" w:eastAsia="en-US"/>
        </w:rPr>
        <w:t>8%.</w:t>
      </w:r>
      <w:r w:rsidR="00A87369" w:rsidRPr="00A87369">
        <w:rPr>
          <w:rFonts w:eastAsia="Times New Roman" w:cs="Arial"/>
          <w:sz w:val="24"/>
          <w:szCs w:val="24"/>
          <w:lang w:val="en-GB" w:eastAsia="en-GB"/>
        </w:rPr>
        <w:t xml:space="preserve"> </w:t>
      </w:r>
      <w:r w:rsidR="00A87369" w:rsidRPr="00A87369">
        <w:rPr>
          <w:rFonts w:eastAsia="Times New Roman" w:cs="Arial"/>
          <w:sz w:val="24"/>
          <w:szCs w:val="24"/>
          <w:lang w:val="en-GB" w:eastAsia="en-US"/>
        </w:rPr>
        <w:t>The increase in net farm income was largely supported by an increase in income from field crops and animal products which increased by 10</w:t>
      </w:r>
      <w:proofErr w:type="gramStart"/>
      <w:r w:rsidR="00D26675">
        <w:rPr>
          <w:rFonts w:eastAsia="Times New Roman" w:cs="Arial"/>
          <w:sz w:val="24"/>
          <w:szCs w:val="24"/>
          <w:lang w:val="en-GB" w:eastAsia="en-US"/>
        </w:rPr>
        <w:t>,</w:t>
      </w:r>
      <w:r w:rsidR="00A87369" w:rsidRPr="00A87369">
        <w:rPr>
          <w:rFonts w:eastAsia="Times New Roman" w:cs="Arial"/>
          <w:sz w:val="24"/>
          <w:szCs w:val="24"/>
          <w:lang w:val="en-GB" w:eastAsia="en-US"/>
        </w:rPr>
        <w:t>0</w:t>
      </w:r>
      <w:proofErr w:type="gramEnd"/>
      <w:r w:rsidR="00A87369" w:rsidRPr="00A87369">
        <w:rPr>
          <w:rFonts w:eastAsia="Times New Roman" w:cs="Arial"/>
          <w:sz w:val="24"/>
          <w:szCs w:val="24"/>
          <w:lang w:val="en-GB" w:eastAsia="en-US"/>
        </w:rPr>
        <w:t>% and 8</w:t>
      </w:r>
      <w:r w:rsidR="00D26675">
        <w:rPr>
          <w:rFonts w:eastAsia="Times New Roman" w:cs="Arial"/>
          <w:sz w:val="24"/>
          <w:szCs w:val="24"/>
          <w:lang w:val="en-GB" w:eastAsia="en-US"/>
        </w:rPr>
        <w:t>,</w:t>
      </w:r>
      <w:r w:rsidR="00A87369" w:rsidRPr="00A87369">
        <w:rPr>
          <w:rFonts w:eastAsia="Times New Roman" w:cs="Arial"/>
          <w:sz w:val="24"/>
          <w:szCs w:val="24"/>
          <w:lang w:val="en-GB" w:eastAsia="en-US"/>
        </w:rPr>
        <w:t xml:space="preserve">6% respectively. </w:t>
      </w:r>
    </w:p>
    <w:p w:rsidR="000A713E" w:rsidRDefault="000A713E" w:rsidP="000A713E">
      <w:pPr>
        <w:spacing w:after="0" w:line="360" w:lineRule="auto"/>
        <w:jc w:val="both"/>
        <w:rPr>
          <w:rFonts w:eastAsia="Times New Roman" w:cs="Arial"/>
          <w:sz w:val="24"/>
          <w:szCs w:val="24"/>
          <w:lang w:val="en-GB" w:eastAsia="en-US"/>
        </w:rPr>
      </w:pPr>
    </w:p>
    <w:p w:rsidR="000A713E" w:rsidRPr="00A87369" w:rsidRDefault="000A713E" w:rsidP="000A713E">
      <w:pPr>
        <w:spacing w:after="0" w:line="360" w:lineRule="auto"/>
        <w:jc w:val="both"/>
        <w:rPr>
          <w:rFonts w:eastAsia="Times New Roman" w:cs="Arial"/>
          <w:sz w:val="24"/>
          <w:szCs w:val="24"/>
          <w:lang w:val="en-GB" w:eastAsia="en-US"/>
        </w:rPr>
      </w:pPr>
    </w:p>
    <w:p w:rsidR="00A87369" w:rsidRPr="00A87369" w:rsidRDefault="00A87369" w:rsidP="00F403F4">
      <w:pPr>
        <w:spacing w:after="0" w:line="240" w:lineRule="auto"/>
        <w:rPr>
          <w:rFonts w:eastAsia="Times New Roman" w:cs="Arial"/>
          <w:sz w:val="24"/>
          <w:szCs w:val="24"/>
          <w:lang w:val="en-GB" w:eastAsia="en-US"/>
        </w:rPr>
      </w:pPr>
      <w:r w:rsidRPr="00A87369">
        <w:rPr>
          <w:rFonts w:eastAsia="Times New Roman" w:cs="Arial"/>
          <w:noProof/>
          <w:sz w:val="24"/>
          <w:szCs w:val="24"/>
        </w:rPr>
        <w:drawing>
          <wp:inline distT="0" distB="0" distL="0" distR="0" wp14:anchorId="310709FA" wp14:editId="76167C7B">
            <wp:extent cx="5200650" cy="2790825"/>
            <wp:effectExtent l="19050" t="0" r="19050" b="0"/>
            <wp:docPr id="16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87369" w:rsidRPr="00203CD9" w:rsidRDefault="009437BF" w:rsidP="00F403F4">
      <w:pPr>
        <w:pStyle w:val="Heading3"/>
        <w:spacing w:before="0" w:line="240" w:lineRule="auto"/>
        <w:rPr>
          <w:rFonts w:eastAsia="Times New Roman"/>
          <w:lang w:val="en-GB" w:eastAsia="en-US"/>
        </w:rPr>
      </w:pPr>
      <w:bookmarkStart w:id="127" w:name="_Toc489345760"/>
      <w:bookmarkStart w:id="128" w:name="_Toc489345965"/>
      <w:bookmarkStart w:id="129" w:name="_Toc489537718"/>
      <w:r>
        <w:rPr>
          <w:rFonts w:eastAsia="Times New Roman"/>
          <w:b/>
          <w:lang w:val="en-GB" w:eastAsia="en-US"/>
        </w:rPr>
        <w:t>Figure 14</w:t>
      </w:r>
      <w:r w:rsidR="00A87369" w:rsidRPr="000A713E">
        <w:rPr>
          <w:rFonts w:eastAsia="Times New Roman"/>
          <w:b/>
          <w:lang w:val="en-GB" w:eastAsia="en-US"/>
        </w:rPr>
        <w:t>:</w:t>
      </w:r>
      <w:r w:rsidR="00A87369" w:rsidRPr="00203CD9">
        <w:rPr>
          <w:rFonts w:eastAsia="Times New Roman"/>
          <w:lang w:val="en-GB" w:eastAsia="en-US"/>
        </w:rPr>
        <w:t xml:space="preserve"> Trends in the net farm income between 2015 and 2017.</w:t>
      </w:r>
      <w:bookmarkEnd w:id="127"/>
      <w:bookmarkEnd w:id="128"/>
      <w:bookmarkEnd w:id="129"/>
      <w:r w:rsidR="00A87369" w:rsidRPr="00203CD9">
        <w:rPr>
          <w:rFonts w:ascii="Times New Roman" w:eastAsia="Times New Roman" w:hAnsi="Times New Roman" w:cs="Times New Roman"/>
          <w:lang w:val="en-GB" w:eastAsia="en-GB"/>
        </w:rPr>
        <w:t xml:space="preserve">                           </w:t>
      </w:r>
    </w:p>
    <w:p w:rsidR="00A87369" w:rsidRPr="009437BF" w:rsidRDefault="00A87369" w:rsidP="009437BF">
      <w:pPr>
        <w:rPr>
          <w:rFonts w:eastAsia="Times New Roman" w:cs="Arial"/>
          <w:szCs w:val="18"/>
          <w:lang w:val="en-GB" w:eastAsia="en-GB"/>
        </w:rPr>
      </w:pPr>
      <w:bookmarkStart w:id="130" w:name="_Toc489345761"/>
      <w:bookmarkStart w:id="131" w:name="_Toc489345966"/>
      <w:r w:rsidRPr="009437BF">
        <w:rPr>
          <w:rFonts w:eastAsia="Times New Roman" w:cs="Arial"/>
          <w:szCs w:val="18"/>
          <w:lang w:val="en-GB" w:eastAsia="en-GB"/>
        </w:rPr>
        <w:t>Source: DAFF</w:t>
      </w:r>
      <w:bookmarkEnd w:id="130"/>
      <w:bookmarkEnd w:id="131"/>
    </w:p>
    <w:p w:rsidR="00A87369" w:rsidRPr="00A87369" w:rsidRDefault="00A87369" w:rsidP="00A87369">
      <w:pPr>
        <w:spacing w:after="0" w:line="240" w:lineRule="auto"/>
        <w:rPr>
          <w:rFonts w:eastAsia="Times New Roman" w:cs="Arial"/>
          <w:sz w:val="20"/>
          <w:szCs w:val="20"/>
          <w:lang w:val="en-GB" w:eastAsia="en-GB"/>
        </w:rPr>
      </w:pPr>
    </w:p>
    <w:p w:rsidR="00A87369" w:rsidRPr="00F403F4" w:rsidRDefault="00A87369" w:rsidP="009C6281">
      <w:pPr>
        <w:pStyle w:val="Heading2"/>
        <w:spacing w:line="360" w:lineRule="auto"/>
        <w:rPr>
          <w:rFonts w:eastAsia="Times New Roman"/>
          <w:szCs w:val="24"/>
          <w:lang w:val="en-GB" w:eastAsia="en-GB"/>
        </w:rPr>
      </w:pPr>
      <w:bookmarkStart w:id="132" w:name="_Toc489345762"/>
      <w:bookmarkStart w:id="133" w:name="_Toc489345967"/>
      <w:bookmarkStart w:id="134" w:name="_Toc489537719"/>
      <w:r w:rsidRPr="00F403F4">
        <w:rPr>
          <w:rFonts w:eastAsia="Times New Roman"/>
          <w:szCs w:val="24"/>
          <w:lang w:val="en-GB" w:eastAsia="en-GB"/>
        </w:rPr>
        <w:t>2.6 Private consumption expenditure on agricultural products</w:t>
      </w:r>
      <w:bookmarkEnd w:id="132"/>
      <w:bookmarkEnd w:id="133"/>
      <w:bookmarkEnd w:id="134"/>
    </w:p>
    <w:p w:rsidR="00A87369" w:rsidRPr="00A87369" w:rsidRDefault="00A87369" w:rsidP="009C6281">
      <w:pPr>
        <w:spacing w:after="0" w:line="360" w:lineRule="auto"/>
        <w:jc w:val="both"/>
        <w:rPr>
          <w:rFonts w:eastAsia="Times New Roman" w:cs="Arial"/>
          <w:bCs/>
          <w:sz w:val="24"/>
          <w:szCs w:val="24"/>
          <w:lang w:val="en-GB" w:eastAsia="en-GB"/>
        </w:rPr>
      </w:pPr>
      <w:r w:rsidRPr="00F403F4">
        <w:rPr>
          <w:rFonts w:eastAsia="Times New Roman" w:cs="Arial"/>
          <w:bCs/>
          <w:sz w:val="24"/>
          <w:szCs w:val="24"/>
          <w:lang w:val="en-GB" w:eastAsia="en-GB"/>
        </w:rPr>
        <w:t>Figure</w:t>
      </w:r>
      <w:r w:rsidRPr="00A87369">
        <w:rPr>
          <w:rFonts w:eastAsia="Times New Roman" w:cs="Arial"/>
          <w:bCs/>
          <w:sz w:val="24"/>
          <w:szCs w:val="24"/>
          <w:lang w:val="en-GB" w:eastAsia="en-GB"/>
        </w:rPr>
        <w:t xml:space="preserve"> 1</w:t>
      </w:r>
      <w:r w:rsidR="004D5766">
        <w:rPr>
          <w:rFonts w:eastAsia="Times New Roman" w:cs="Arial"/>
          <w:bCs/>
          <w:sz w:val="24"/>
          <w:szCs w:val="24"/>
          <w:lang w:val="en-GB" w:eastAsia="en-GB"/>
        </w:rPr>
        <w:t>5</w:t>
      </w:r>
      <w:r w:rsidRPr="00A87369">
        <w:rPr>
          <w:rFonts w:eastAsia="Times New Roman" w:cs="Arial"/>
          <w:bCs/>
          <w:sz w:val="24"/>
          <w:szCs w:val="24"/>
          <w:lang w:val="en-GB" w:eastAsia="en-GB"/>
        </w:rPr>
        <w:t xml:space="preserve"> below shows that private consumption expenditure on food decrease</w:t>
      </w:r>
      <w:r w:rsidR="00D26675">
        <w:rPr>
          <w:rFonts w:eastAsia="Times New Roman" w:cs="Arial"/>
          <w:bCs/>
          <w:sz w:val="24"/>
          <w:szCs w:val="24"/>
          <w:lang w:val="en-GB" w:eastAsia="en-GB"/>
        </w:rPr>
        <w:t>d</w:t>
      </w:r>
      <w:r w:rsidRPr="00A87369">
        <w:rPr>
          <w:rFonts w:eastAsia="Times New Roman" w:cs="Arial"/>
          <w:bCs/>
          <w:sz w:val="24"/>
          <w:szCs w:val="24"/>
          <w:lang w:val="en-GB" w:eastAsia="en-GB"/>
        </w:rPr>
        <w:t xml:space="preserve"> in the first quarter of 2017 to R153</w:t>
      </w:r>
      <w:proofErr w:type="gramStart"/>
      <w:r w:rsidR="00D26675">
        <w:rPr>
          <w:rFonts w:eastAsia="Times New Roman" w:cs="Arial"/>
          <w:bCs/>
          <w:sz w:val="24"/>
          <w:szCs w:val="24"/>
          <w:lang w:val="en-GB" w:eastAsia="en-GB"/>
        </w:rPr>
        <w:t>,</w:t>
      </w:r>
      <w:r w:rsidRPr="00A87369">
        <w:rPr>
          <w:rFonts w:eastAsia="Times New Roman" w:cs="Arial"/>
          <w:bCs/>
          <w:sz w:val="24"/>
          <w:szCs w:val="24"/>
          <w:lang w:val="en-GB" w:eastAsia="en-GB"/>
        </w:rPr>
        <w:t>7</w:t>
      </w:r>
      <w:proofErr w:type="gramEnd"/>
      <w:r w:rsidRPr="00A87369">
        <w:rPr>
          <w:rFonts w:eastAsia="Times New Roman" w:cs="Arial"/>
          <w:bCs/>
          <w:sz w:val="24"/>
          <w:szCs w:val="24"/>
          <w:lang w:val="en-GB" w:eastAsia="en-GB"/>
        </w:rPr>
        <w:t xml:space="preserve"> billion from R166</w:t>
      </w:r>
      <w:r w:rsidR="00D26675">
        <w:rPr>
          <w:rFonts w:eastAsia="Times New Roman" w:cs="Arial"/>
          <w:bCs/>
          <w:sz w:val="24"/>
          <w:szCs w:val="24"/>
          <w:lang w:val="en-GB" w:eastAsia="en-GB"/>
        </w:rPr>
        <w:t>,</w:t>
      </w:r>
      <w:r w:rsidRPr="00A87369">
        <w:rPr>
          <w:rFonts w:eastAsia="Times New Roman" w:cs="Arial"/>
          <w:bCs/>
          <w:sz w:val="24"/>
          <w:szCs w:val="24"/>
          <w:lang w:val="en-GB" w:eastAsia="en-GB"/>
        </w:rPr>
        <w:t>4 billion in the previous quarter, a decrease of 7</w:t>
      </w:r>
      <w:r w:rsidR="00D26675">
        <w:rPr>
          <w:rFonts w:eastAsia="Times New Roman" w:cs="Arial"/>
          <w:bCs/>
          <w:sz w:val="24"/>
          <w:szCs w:val="24"/>
          <w:lang w:val="en-GB" w:eastAsia="en-GB"/>
        </w:rPr>
        <w:t>,</w:t>
      </w:r>
      <w:r w:rsidRPr="00A87369">
        <w:rPr>
          <w:rFonts w:eastAsia="Times New Roman" w:cs="Arial"/>
          <w:bCs/>
          <w:sz w:val="24"/>
          <w:szCs w:val="24"/>
          <w:lang w:val="en-GB" w:eastAsia="en-GB"/>
        </w:rPr>
        <w:t>7%. Compared to a year ago, total private consumption expenditure on food increased to R153</w:t>
      </w:r>
      <w:r w:rsidR="00D26675">
        <w:rPr>
          <w:rFonts w:eastAsia="Times New Roman" w:cs="Arial"/>
          <w:bCs/>
          <w:sz w:val="24"/>
          <w:szCs w:val="24"/>
          <w:lang w:val="en-GB" w:eastAsia="en-GB"/>
        </w:rPr>
        <w:t>,</w:t>
      </w:r>
      <w:r w:rsidRPr="00A87369">
        <w:rPr>
          <w:rFonts w:eastAsia="Times New Roman" w:cs="Arial"/>
          <w:bCs/>
          <w:sz w:val="24"/>
          <w:szCs w:val="24"/>
          <w:lang w:val="en-GB" w:eastAsia="en-GB"/>
        </w:rPr>
        <w:t>7 billion reported in the first  quarter of 2017 compared to R143</w:t>
      </w:r>
      <w:r w:rsidR="00D26675">
        <w:rPr>
          <w:rFonts w:eastAsia="Times New Roman" w:cs="Arial"/>
          <w:bCs/>
          <w:sz w:val="24"/>
          <w:szCs w:val="24"/>
          <w:lang w:val="en-GB" w:eastAsia="en-GB"/>
        </w:rPr>
        <w:t>,</w:t>
      </w:r>
      <w:r w:rsidRPr="00A87369">
        <w:rPr>
          <w:rFonts w:eastAsia="Times New Roman" w:cs="Arial"/>
          <w:bCs/>
          <w:sz w:val="24"/>
          <w:szCs w:val="24"/>
          <w:lang w:val="en-GB" w:eastAsia="en-GB"/>
        </w:rPr>
        <w:t>7 billion in same quarter of 2016, an increase of 6</w:t>
      </w:r>
      <w:r w:rsidR="00D26675">
        <w:rPr>
          <w:rFonts w:eastAsia="Times New Roman" w:cs="Arial"/>
          <w:bCs/>
          <w:sz w:val="24"/>
          <w:szCs w:val="24"/>
          <w:lang w:val="en-GB" w:eastAsia="en-GB"/>
        </w:rPr>
        <w:t>,</w:t>
      </w:r>
      <w:r w:rsidRPr="00A87369">
        <w:rPr>
          <w:rFonts w:eastAsia="Times New Roman" w:cs="Arial"/>
          <w:bCs/>
          <w:sz w:val="24"/>
          <w:szCs w:val="24"/>
          <w:lang w:val="en-GB" w:eastAsia="en-GB"/>
        </w:rPr>
        <w:t>9%. During the same period the main expenditure items were potatoes which increased by 31</w:t>
      </w:r>
      <w:proofErr w:type="gramStart"/>
      <w:r w:rsidR="00D26675">
        <w:rPr>
          <w:rFonts w:eastAsia="Times New Roman" w:cs="Arial"/>
          <w:bCs/>
          <w:sz w:val="24"/>
          <w:szCs w:val="24"/>
          <w:lang w:val="en-GB" w:eastAsia="en-GB"/>
        </w:rPr>
        <w:t>,</w:t>
      </w:r>
      <w:r w:rsidRPr="00A87369">
        <w:rPr>
          <w:rFonts w:eastAsia="Times New Roman" w:cs="Arial"/>
          <w:bCs/>
          <w:sz w:val="24"/>
          <w:szCs w:val="24"/>
          <w:lang w:val="en-GB" w:eastAsia="en-GB"/>
        </w:rPr>
        <w:t>0</w:t>
      </w:r>
      <w:proofErr w:type="gramEnd"/>
      <w:r w:rsidRPr="00A87369">
        <w:rPr>
          <w:rFonts w:eastAsia="Times New Roman" w:cs="Arial"/>
          <w:bCs/>
          <w:sz w:val="24"/>
          <w:szCs w:val="24"/>
          <w:lang w:val="en-GB" w:eastAsia="en-GB"/>
        </w:rPr>
        <w:t xml:space="preserve">%. The expenditure on bread and </w:t>
      </w:r>
      <w:proofErr w:type="gramStart"/>
      <w:r w:rsidRPr="00A87369">
        <w:rPr>
          <w:rFonts w:eastAsia="Times New Roman" w:cs="Arial"/>
          <w:bCs/>
          <w:sz w:val="24"/>
          <w:szCs w:val="24"/>
          <w:lang w:val="en-GB" w:eastAsia="en-GB"/>
        </w:rPr>
        <w:t>grain  increased</w:t>
      </w:r>
      <w:proofErr w:type="gramEnd"/>
      <w:r w:rsidRPr="00A87369">
        <w:rPr>
          <w:rFonts w:eastAsia="Times New Roman" w:cs="Arial"/>
          <w:bCs/>
          <w:sz w:val="24"/>
          <w:szCs w:val="24"/>
          <w:lang w:val="en-GB" w:eastAsia="en-GB"/>
        </w:rPr>
        <w:t xml:space="preserve"> by 15</w:t>
      </w:r>
      <w:r w:rsidR="00D26675">
        <w:rPr>
          <w:rFonts w:eastAsia="Times New Roman" w:cs="Arial"/>
          <w:bCs/>
          <w:sz w:val="24"/>
          <w:szCs w:val="24"/>
          <w:lang w:val="en-GB" w:eastAsia="en-GB"/>
        </w:rPr>
        <w:t>,</w:t>
      </w:r>
      <w:r w:rsidRPr="00A87369">
        <w:rPr>
          <w:rFonts w:eastAsia="Times New Roman" w:cs="Arial"/>
          <w:bCs/>
          <w:sz w:val="24"/>
          <w:szCs w:val="24"/>
          <w:lang w:val="en-GB" w:eastAsia="en-GB"/>
        </w:rPr>
        <w:t>9 between the two quarters. The expenditure on meat also increased by 1</w:t>
      </w:r>
      <w:proofErr w:type="gramStart"/>
      <w:r w:rsidR="00D26675">
        <w:rPr>
          <w:rFonts w:eastAsia="Times New Roman" w:cs="Arial"/>
          <w:bCs/>
          <w:sz w:val="24"/>
          <w:szCs w:val="24"/>
          <w:lang w:val="en-GB" w:eastAsia="en-GB"/>
        </w:rPr>
        <w:t>,</w:t>
      </w:r>
      <w:r w:rsidRPr="00A87369">
        <w:rPr>
          <w:rFonts w:eastAsia="Times New Roman" w:cs="Arial"/>
          <w:bCs/>
          <w:sz w:val="24"/>
          <w:szCs w:val="24"/>
          <w:lang w:val="en-GB" w:eastAsia="en-GB"/>
        </w:rPr>
        <w:t>2</w:t>
      </w:r>
      <w:proofErr w:type="gramEnd"/>
      <w:r w:rsidRPr="00A87369">
        <w:rPr>
          <w:rFonts w:eastAsia="Times New Roman" w:cs="Arial"/>
          <w:bCs/>
          <w:sz w:val="24"/>
          <w:szCs w:val="24"/>
          <w:lang w:val="en-GB" w:eastAsia="en-GB"/>
        </w:rPr>
        <w:t xml:space="preserve">%. Meanwhile the expenditure on fruit and vegetables </w:t>
      </w:r>
      <w:proofErr w:type="gramStart"/>
      <w:r w:rsidRPr="00A87369">
        <w:rPr>
          <w:rFonts w:eastAsia="Times New Roman" w:cs="Arial"/>
          <w:bCs/>
          <w:sz w:val="24"/>
          <w:szCs w:val="24"/>
          <w:lang w:val="en-GB" w:eastAsia="en-GB"/>
        </w:rPr>
        <w:t>decrease</w:t>
      </w:r>
      <w:r w:rsidR="00D26675">
        <w:rPr>
          <w:rFonts w:eastAsia="Times New Roman" w:cs="Arial"/>
          <w:bCs/>
          <w:sz w:val="24"/>
          <w:szCs w:val="24"/>
          <w:lang w:val="en-GB" w:eastAsia="en-GB"/>
        </w:rPr>
        <w:t>d</w:t>
      </w:r>
      <w:r w:rsidRPr="00A87369">
        <w:rPr>
          <w:rFonts w:eastAsia="Times New Roman" w:cs="Arial"/>
          <w:bCs/>
          <w:sz w:val="24"/>
          <w:szCs w:val="24"/>
          <w:lang w:val="en-GB" w:eastAsia="en-GB"/>
        </w:rPr>
        <w:t xml:space="preserve">  by</w:t>
      </w:r>
      <w:proofErr w:type="gramEnd"/>
      <w:r w:rsidRPr="00A87369">
        <w:rPr>
          <w:rFonts w:eastAsia="Times New Roman" w:cs="Arial"/>
          <w:bCs/>
          <w:sz w:val="24"/>
          <w:szCs w:val="24"/>
          <w:lang w:val="en-GB" w:eastAsia="en-GB"/>
        </w:rPr>
        <w:t xml:space="preserve"> 10</w:t>
      </w:r>
      <w:r w:rsidR="00D26675">
        <w:rPr>
          <w:rFonts w:eastAsia="Times New Roman" w:cs="Arial"/>
          <w:bCs/>
          <w:sz w:val="24"/>
          <w:szCs w:val="24"/>
          <w:lang w:val="en-GB" w:eastAsia="en-GB"/>
        </w:rPr>
        <w:t>,</w:t>
      </w:r>
      <w:r w:rsidRPr="00A87369">
        <w:rPr>
          <w:rFonts w:eastAsia="Times New Roman" w:cs="Arial"/>
          <w:bCs/>
          <w:sz w:val="24"/>
          <w:szCs w:val="24"/>
          <w:lang w:val="en-GB" w:eastAsia="en-GB"/>
        </w:rPr>
        <w:t>9% in the first quarter of 2017 compared to the same quarter of 2016. During the same period the expenditure on oils and fats also decreased by 4</w:t>
      </w:r>
      <w:proofErr w:type="gramStart"/>
      <w:r w:rsidR="00D26675">
        <w:rPr>
          <w:rFonts w:eastAsia="Times New Roman" w:cs="Arial"/>
          <w:bCs/>
          <w:sz w:val="24"/>
          <w:szCs w:val="24"/>
          <w:lang w:val="en-GB" w:eastAsia="en-GB"/>
        </w:rPr>
        <w:t>,</w:t>
      </w:r>
      <w:r w:rsidRPr="00A87369">
        <w:rPr>
          <w:rFonts w:eastAsia="Times New Roman" w:cs="Arial"/>
          <w:bCs/>
          <w:sz w:val="24"/>
          <w:szCs w:val="24"/>
          <w:lang w:val="en-GB" w:eastAsia="en-GB"/>
        </w:rPr>
        <w:t>8</w:t>
      </w:r>
      <w:proofErr w:type="gramEnd"/>
      <w:r w:rsidRPr="00A87369">
        <w:rPr>
          <w:rFonts w:eastAsia="Times New Roman" w:cs="Arial"/>
          <w:bCs/>
          <w:sz w:val="24"/>
          <w:szCs w:val="24"/>
          <w:lang w:val="en-GB" w:eastAsia="en-GB"/>
        </w:rPr>
        <w:t>%.</w:t>
      </w:r>
    </w:p>
    <w:p w:rsidR="00A87369" w:rsidRPr="00203CD9" w:rsidRDefault="00A87369" w:rsidP="00F403F4">
      <w:pPr>
        <w:spacing w:after="0" w:line="240" w:lineRule="auto"/>
        <w:jc w:val="both"/>
        <w:rPr>
          <w:rFonts w:eastAsia="Times New Roman" w:cs="Arial"/>
          <w:b/>
          <w:szCs w:val="18"/>
          <w:lang w:val="en-GB" w:eastAsia="en-GB"/>
        </w:rPr>
      </w:pPr>
      <w:r w:rsidRPr="00203CD9">
        <w:rPr>
          <w:rFonts w:eastAsia="Times New Roman" w:cs="Arial"/>
          <w:bCs/>
          <w:noProof/>
          <w:szCs w:val="18"/>
        </w:rPr>
        <w:drawing>
          <wp:inline distT="0" distB="0" distL="0" distR="0" wp14:anchorId="57B27185" wp14:editId="73B9D84D">
            <wp:extent cx="5334000" cy="3390900"/>
            <wp:effectExtent l="19050" t="0" r="19050" b="0"/>
            <wp:docPr id="1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87369" w:rsidRPr="00203CD9" w:rsidRDefault="009437BF" w:rsidP="00F403F4">
      <w:pPr>
        <w:pStyle w:val="Heading3"/>
        <w:spacing w:before="0" w:line="240" w:lineRule="auto"/>
        <w:rPr>
          <w:rFonts w:eastAsia="Times New Roman"/>
          <w:b/>
          <w:lang w:val="en-GB" w:eastAsia="en-GB"/>
        </w:rPr>
      </w:pPr>
      <w:bookmarkStart w:id="135" w:name="_Toc489345763"/>
      <w:bookmarkStart w:id="136" w:name="_Toc489345968"/>
      <w:bookmarkStart w:id="137" w:name="_Toc489537720"/>
      <w:r>
        <w:rPr>
          <w:rFonts w:eastAsia="Times New Roman"/>
          <w:b/>
          <w:lang w:val="en-GB" w:eastAsia="en-US"/>
        </w:rPr>
        <w:t>Figure 15</w:t>
      </w:r>
      <w:r w:rsidR="00A87369" w:rsidRPr="00203CD9">
        <w:rPr>
          <w:rFonts w:eastAsia="Times New Roman"/>
          <w:b/>
          <w:lang w:val="en-GB" w:eastAsia="en-US"/>
        </w:rPr>
        <w:t xml:space="preserve">: </w:t>
      </w:r>
      <w:r w:rsidR="00A87369" w:rsidRPr="00203CD9">
        <w:rPr>
          <w:rFonts w:eastAsia="Times New Roman"/>
          <w:lang w:val="en-GB" w:eastAsia="en-US"/>
        </w:rPr>
        <w:t>Trends in private consumption expenditure between 2015 and 2017</w:t>
      </w:r>
      <w:bookmarkEnd w:id="135"/>
      <w:bookmarkEnd w:id="136"/>
      <w:bookmarkEnd w:id="137"/>
      <w:r w:rsidR="00A87369" w:rsidRPr="00203CD9">
        <w:rPr>
          <w:rFonts w:eastAsia="Times New Roman"/>
          <w:b/>
          <w:lang w:val="en-GB" w:eastAsia="en-GB"/>
        </w:rPr>
        <w:t xml:space="preserve">                          </w:t>
      </w:r>
    </w:p>
    <w:p w:rsidR="00A87369" w:rsidRPr="009437BF" w:rsidRDefault="00A87369" w:rsidP="009437BF">
      <w:pPr>
        <w:rPr>
          <w:rFonts w:eastAsia="Times New Roman" w:cs="Arial"/>
          <w:szCs w:val="18"/>
          <w:lang w:val="en-GB" w:eastAsia="en-US"/>
        </w:rPr>
      </w:pPr>
      <w:bookmarkStart w:id="138" w:name="_Toc489345764"/>
      <w:bookmarkStart w:id="139" w:name="_Toc489345969"/>
      <w:r w:rsidRPr="009437BF">
        <w:rPr>
          <w:rFonts w:eastAsia="Times New Roman" w:cs="Arial"/>
          <w:szCs w:val="18"/>
          <w:lang w:val="en-GB" w:eastAsia="en-GB"/>
        </w:rPr>
        <w:t>Source: DAFF</w:t>
      </w:r>
      <w:bookmarkEnd w:id="138"/>
      <w:bookmarkEnd w:id="139"/>
    </w:p>
    <w:p w:rsidR="00C939D5" w:rsidRDefault="00C939D5" w:rsidP="00C939D5">
      <w:pPr>
        <w:spacing w:after="0" w:line="360" w:lineRule="auto"/>
        <w:jc w:val="both"/>
        <w:rPr>
          <w:rFonts w:cs="Arial"/>
          <w:b/>
          <w:u w:val="single"/>
        </w:rPr>
      </w:pPr>
    </w:p>
    <w:p w:rsidR="00410911" w:rsidRPr="002B2894" w:rsidRDefault="002B2894" w:rsidP="000A713E">
      <w:pPr>
        <w:pStyle w:val="Heading1"/>
        <w:rPr>
          <w:u w:val="single"/>
        </w:rPr>
      </w:pPr>
      <w:bookmarkStart w:id="140" w:name="_Toc489345765"/>
      <w:bookmarkStart w:id="141" w:name="_Toc489345970"/>
      <w:bookmarkStart w:id="142" w:name="_Toc489537721"/>
      <w:r>
        <w:t xml:space="preserve">3. </w:t>
      </w:r>
      <w:r w:rsidR="00410911" w:rsidRPr="002B2894">
        <w:t>Review of Agricultural Markets</w:t>
      </w:r>
      <w:bookmarkEnd w:id="140"/>
      <w:bookmarkEnd w:id="141"/>
      <w:bookmarkEnd w:id="142"/>
    </w:p>
    <w:p w:rsidR="002B2894" w:rsidRDefault="002B2894" w:rsidP="000A713E">
      <w:pPr>
        <w:pStyle w:val="Heading2"/>
      </w:pPr>
      <w:bookmarkStart w:id="143" w:name="_Toc489345766"/>
      <w:bookmarkStart w:id="144" w:name="_Toc489345971"/>
      <w:bookmarkStart w:id="145" w:name="_Toc489537722"/>
      <w:r>
        <w:t xml:space="preserve">3.1 </w:t>
      </w:r>
      <w:r w:rsidR="00410911" w:rsidRPr="00CE6EC9">
        <w:t>Grain market review</w:t>
      </w:r>
      <w:bookmarkEnd w:id="143"/>
      <w:bookmarkEnd w:id="144"/>
      <w:bookmarkEnd w:id="145"/>
    </w:p>
    <w:p w:rsidR="002B2894" w:rsidRDefault="002B2894" w:rsidP="009C6281">
      <w:pPr>
        <w:pStyle w:val="Heading2"/>
        <w:spacing w:line="360" w:lineRule="auto"/>
        <w:rPr>
          <w:rFonts w:eastAsia="Times New Roman" w:cs="Arial"/>
          <w:szCs w:val="24"/>
          <w:lang w:val="en-GB"/>
        </w:rPr>
      </w:pPr>
      <w:bookmarkStart w:id="146" w:name="_Toc489345767"/>
      <w:bookmarkStart w:id="147" w:name="_Toc489345972"/>
      <w:bookmarkStart w:id="148" w:name="_Toc489537723"/>
      <w:r w:rsidRPr="009F08C4">
        <w:rPr>
          <w:rFonts w:eastAsia="Times New Roman" w:cs="Arial"/>
          <w:szCs w:val="24"/>
          <w:lang w:val="en-GB"/>
        </w:rPr>
        <w:t>3.1.1 White and yellow maize</w:t>
      </w:r>
      <w:bookmarkEnd w:id="146"/>
      <w:bookmarkEnd w:id="147"/>
      <w:bookmarkEnd w:id="148"/>
      <w:r w:rsidRPr="009F08C4">
        <w:rPr>
          <w:rFonts w:eastAsia="Times New Roman" w:cs="Arial"/>
          <w:szCs w:val="24"/>
          <w:lang w:val="en-GB"/>
        </w:rPr>
        <w:t xml:space="preserve"> </w:t>
      </w:r>
    </w:p>
    <w:p w:rsidR="009C6281" w:rsidRPr="00C05654" w:rsidRDefault="009C6281" w:rsidP="009C6281">
      <w:pPr>
        <w:pStyle w:val="Default"/>
        <w:spacing w:line="360" w:lineRule="auto"/>
        <w:jc w:val="both"/>
      </w:pPr>
      <w:r w:rsidRPr="00113D6A">
        <w:t>Figure 1</w:t>
      </w:r>
      <w:r w:rsidR="004D5766">
        <w:t>6</w:t>
      </w:r>
      <w:r w:rsidRPr="00113D6A">
        <w:t xml:space="preserve"> illustrates the price trends of white and yellow maize, as well as the international maize prices.  During the first quarter of 2017, South Africa white maize prices traded </w:t>
      </w:r>
      <w:proofErr w:type="gramStart"/>
      <w:r w:rsidRPr="00113D6A">
        <w:t>between  import</w:t>
      </w:r>
      <w:proofErr w:type="gramEnd"/>
      <w:r w:rsidRPr="00113D6A">
        <w:t xml:space="preserve"> and export parity prices as expected. However, maize prices are likely to decline following good rains during the planting season. White maize import parity price for the first quarter of 2017 were at R2824/ton compared to R3777/ton in quarter 4 of 2016 which represents a 25</w:t>
      </w:r>
      <w:proofErr w:type="gramStart"/>
      <w:r w:rsidR="00A52679">
        <w:t>,</w:t>
      </w:r>
      <w:r w:rsidRPr="00113D6A">
        <w:t>22</w:t>
      </w:r>
      <w:proofErr w:type="gramEnd"/>
      <w:r w:rsidRPr="00113D6A">
        <w:t>% decline in price. Domestic white maize prices declined by 42</w:t>
      </w:r>
      <w:proofErr w:type="gramStart"/>
      <w:r w:rsidR="00A52679">
        <w:t>,</w:t>
      </w:r>
      <w:r w:rsidRPr="00113D6A">
        <w:t>65</w:t>
      </w:r>
      <w:proofErr w:type="gramEnd"/>
      <w:r w:rsidRPr="00113D6A">
        <w:t>% year-on-year during the first quarter of 2017. The local yellow maize traded closer to the export parity price in the 1</w:t>
      </w:r>
      <w:r w:rsidRPr="00113D6A">
        <w:rPr>
          <w:vertAlign w:val="superscript"/>
        </w:rPr>
        <w:t>st</w:t>
      </w:r>
      <w:r w:rsidRPr="00113D6A">
        <w:t xml:space="preserve"> quarter of 2017 at an average of R2730/ton which is 15</w:t>
      </w:r>
      <w:r w:rsidR="00A52679">
        <w:t>,</w:t>
      </w:r>
      <w:r w:rsidRPr="00113D6A">
        <w:t>08% lower compared R3215/ton of the previous quarter. The year-on-year prices of yellow maize decreased significantly by 24</w:t>
      </w:r>
      <w:proofErr w:type="gramStart"/>
      <w:r w:rsidR="00A52679">
        <w:t>,</w:t>
      </w:r>
      <w:r w:rsidRPr="00113D6A">
        <w:t>72</w:t>
      </w:r>
      <w:proofErr w:type="gramEnd"/>
      <w:r w:rsidRPr="00113D6A">
        <w:t>% in the first quarter of 2017. Following a good season, white maize prices are expected to trade between the import and export parity prices during the second quarter of 2017 while yellow maize prices are expected to trade closer to export parity prices in the second quarter of 2017.</w:t>
      </w:r>
      <w:r w:rsidRPr="00C05654">
        <w:t xml:space="preserve"> </w:t>
      </w:r>
    </w:p>
    <w:p w:rsidR="009C6281" w:rsidRDefault="009C6281" w:rsidP="009C6281">
      <w:pPr>
        <w:pStyle w:val="Default"/>
        <w:spacing w:line="360" w:lineRule="auto"/>
        <w:jc w:val="both"/>
      </w:pPr>
    </w:p>
    <w:p w:rsidR="009C6281" w:rsidRDefault="009C6281" w:rsidP="002D3BFD">
      <w:pPr>
        <w:pStyle w:val="Default"/>
        <w:jc w:val="both"/>
      </w:pPr>
      <w:r w:rsidRPr="00113D6A">
        <w:rPr>
          <w:noProof/>
          <w:lang w:eastAsia="en-ZA"/>
        </w:rPr>
        <w:drawing>
          <wp:inline distT="0" distB="0" distL="0" distR="0" wp14:anchorId="3BABEBC6" wp14:editId="4D80D0B0">
            <wp:extent cx="5295900" cy="2743200"/>
            <wp:effectExtent l="0" t="0" r="19050" b="19050"/>
            <wp:docPr id="170" name="Chart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C6281" w:rsidRDefault="009C6281" w:rsidP="004D5766">
      <w:pPr>
        <w:rPr>
          <w:rFonts w:cs="Arial"/>
          <w:szCs w:val="18"/>
        </w:rPr>
      </w:pPr>
      <w:bookmarkStart w:id="149" w:name="_Toc489537724"/>
      <w:bookmarkStart w:id="150" w:name="_Toc489345768"/>
      <w:bookmarkStart w:id="151" w:name="_Toc489345973"/>
      <w:r w:rsidRPr="004D5766">
        <w:rPr>
          <w:rStyle w:val="Heading3Char"/>
          <w:b/>
        </w:rPr>
        <w:t>Figure 1</w:t>
      </w:r>
      <w:r w:rsidR="004D5766" w:rsidRPr="004D5766">
        <w:rPr>
          <w:rStyle w:val="Heading3Char"/>
          <w:b/>
        </w:rPr>
        <w:t>6</w:t>
      </w:r>
      <w:r w:rsidRPr="004D5766">
        <w:rPr>
          <w:rStyle w:val="Heading3Char"/>
          <w:b/>
        </w:rPr>
        <w:t>:</w:t>
      </w:r>
      <w:r w:rsidRPr="004D5766">
        <w:rPr>
          <w:rStyle w:val="Heading3Char"/>
        </w:rPr>
        <w:t xml:space="preserve"> White maize price</w:t>
      </w:r>
      <w:bookmarkEnd w:id="149"/>
      <w:r w:rsidRPr="00113D6A">
        <w:rPr>
          <w:rFonts w:cs="Arial"/>
          <w:szCs w:val="18"/>
        </w:rPr>
        <w:t xml:space="preserve"> </w:t>
      </w:r>
      <w:r w:rsidRPr="00AE7D0E">
        <w:rPr>
          <w:rFonts w:cs="Arial"/>
          <w:szCs w:val="18"/>
        </w:rPr>
        <w:br/>
      </w:r>
      <w:r w:rsidRPr="004D5766">
        <w:rPr>
          <w:rFonts w:cs="Arial"/>
          <w:szCs w:val="18"/>
        </w:rPr>
        <w:t xml:space="preserve">Source: </w:t>
      </w:r>
      <w:proofErr w:type="spellStart"/>
      <w:r w:rsidRPr="004D5766">
        <w:rPr>
          <w:rFonts w:cs="Arial"/>
          <w:szCs w:val="18"/>
        </w:rPr>
        <w:t>Sagis</w:t>
      </w:r>
      <w:bookmarkEnd w:id="150"/>
      <w:bookmarkEnd w:id="151"/>
      <w:proofErr w:type="spellEnd"/>
    </w:p>
    <w:p w:rsidR="009C6281" w:rsidRPr="00AE7D0E" w:rsidRDefault="009C6281" w:rsidP="009C6281">
      <w:pPr>
        <w:spacing w:after="0" w:line="360" w:lineRule="auto"/>
        <w:rPr>
          <w:rFonts w:cs="Arial"/>
          <w:szCs w:val="18"/>
        </w:rPr>
      </w:pPr>
    </w:p>
    <w:p w:rsidR="009C6281" w:rsidRPr="00F25211" w:rsidRDefault="009C6281" w:rsidP="009C6281">
      <w:pPr>
        <w:spacing w:line="360" w:lineRule="auto"/>
        <w:jc w:val="both"/>
        <w:rPr>
          <w:rFonts w:cs="Arial"/>
          <w:sz w:val="24"/>
          <w:szCs w:val="24"/>
        </w:rPr>
      </w:pPr>
      <w:r w:rsidRPr="00113D6A">
        <w:rPr>
          <w:rFonts w:cs="Arial"/>
          <w:sz w:val="24"/>
          <w:szCs w:val="24"/>
        </w:rPr>
        <w:t>Figure 1</w:t>
      </w:r>
      <w:r w:rsidR="004D5766">
        <w:rPr>
          <w:rFonts w:cs="Arial"/>
          <w:sz w:val="24"/>
          <w:szCs w:val="24"/>
        </w:rPr>
        <w:t>7</w:t>
      </w:r>
      <w:r w:rsidRPr="00113D6A">
        <w:rPr>
          <w:rFonts w:cs="Arial"/>
          <w:sz w:val="24"/>
          <w:szCs w:val="24"/>
        </w:rPr>
        <w:t xml:space="preserve"> shows the retail prices against the maize seed prices. The average quarterly price of maize seed prices for the first quarter of 2017 was R2824/ton which is 25</w:t>
      </w:r>
      <w:proofErr w:type="gramStart"/>
      <w:r w:rsidR="00A52679">
        <w:rPr>
          <w:rFonts w:cs="Arial"/>
          <w:sz w:val="24"/>
          <w:szCs w:val="24"/>
        </w:rPr>
        <w:t>,</w:t>
      </w:r>
      <w:r w:rsidRPr="00113D6A">
        <w:rPr>
          <w:rFonts w:cs="Arial"/>
          <w:sz w:val="24"/>
          <w:szCs w:val="24"/>
        </w:rPr>
        <w:t>22</w:t>
      </w:r>
      <w:proofErr w:type="gramEnd"/>
      <w:r w:rsidRPr="00113D6A">
        <w:rPr>
          <w:rFonts w:cs="Arial"/>
          <w:sz w:val="24"/>
          <w:szCs w:val="24"/>
        </w:rPr>
        <w:t xml:space="preserve">% lower compared to the fourth quarter of 2016. Data revealed that even though maize seed price have declined significantly from quarter to quarter, consumers still pay higher prices for maize by-products. The decline in maize seed prices in the first quarter of 2017 is expected </w:t>
      </w:r>
      <w:r w:rsidR="0020091F">
        <w:rPr>
          <w:rFonts w:cs="Arial"/>
          <w:sz w:val="24"/>
          <w:szCs w:val="24"/>
        </w:rPr>
        <w:t xml:space="preserve">to </w:t>
      </w:r>
      <w:r w:rsidRPr="00113D6A">
        <w:rPr>
          <w:rFonts w:cs="Arial"/>
          <w:sz w:val="24"/>
          <w:szCs w:val="24"/>
        </w:rPr>
        <w:t>ease the price of maize by-products in the second quarter of 2017. On a quarterly basis, the price of super maize 1kg, (super maize) mealie meal/maize flour  5kg, (special maize) mealie meal/maize flour 1kg and (special maize) mealie meal/maize flour 2</w:t>
      </w:r>
      <w:r w:rsidR="0020091F">
        <w:rPr>
          <w:rFonts w:cs="Arial"/>
          <w:sz w:val="24"/>
          <w:szCs w:val="24"/>
        </w:rPr>
        <w:t>,</w:t>
      </w:r>
      <w:r w:rsidRPr="00113D6A">
        <w:rPr>
          <w:rFonts w:cs="Arial"/>
          <w:sz w:val="24"/>
          <w:szCs w:val="24"/>
        </w:rPr>
        <w:t>5kg increased by 1</w:t>
      </w:r>
      <w:r w:rsidR="0020091F">
        <w:rPr>
          <w:rFonts w:cs="Arial"/>
          <w:sz w:val="24"/>
          <w:szCs w:val="24"/>
        </w:rPr>
        <w:t>,</w:t>
      </w:r>
      <w:r w:rsidRPr="00113D6A">
        <w:rPr>
          <w:rFonts w:cs="Arial"/>
          <w:sz w:val="24"/>
          <w:szCs w:val="24"/>
        </w:rPr>
        <w:t>27%, 1</w:t>
      </w:r>
      <w:r w:rsidR="0020091F">
        <w:rPr>
          <w:rFonts w:cs="Arial"/>
          <w:sz w:val="24"/>
          <w:szCs w:val="24"/>
        </w:rPr>
        <w:t>,</w:t>
      </w:r>
      <w:r w:rsidRPr="00113D6A">
        <w:rPr>
          <w:rFonts w:cs="Arial"/>
          <w:sz w:val="24"/>
          <w:szCs w:val="24"/>
        </w:rPr>
        <w:t>28%, 2</w:t>
      </w:r>
      <w:r w:rsidR="0020091F">
        <w:rPr>
          <w:rFonts w:cs="Arial"/>
          <w:sz w:val="24"/>
          <w:szCs w:val="24"/>
        </w:rPr>
        <w:t>,</w:t>
      </w:r>
      <w:r w:rsidRPr="00113D6A">
        <w:rPr>
          <w:rFonts w:cs="Arial"/>
          <w:sz w:val="24"/>
          <w:szCs w:val="24"/>
        </w:rPr>
        <w:t>75%, and 1</w:t>
      </w:r>
      <w:r w:rsidR="0020091F">
        <w:rPr>
          <w:rFonts w:cs="Arial"/>
          <w:sz w:val="24"/>
          <w:szCs w:val="24"/>
        </w:rPr>
        <w:t>,</w:t>
      </w:r>
      <w:r w:rsidRPr="00113D6A">
        <w:rPr>
          <w:rFonts w:cs="Arial"/>
          <w:sz w:val="24"/>
          <w:szCs w:val="24"/>
        </w:rPr>
        <w:t>65% respectively with the exception of super maize 2</w:t>
      </w:r>
      <w:r w:rsidR="0020091F">
        <w:rPr>
          <w:rFonts w:cs="Arial"/>
          <w:sz w:val="24"/>
          <w:szCs w:val="24"/>
        </w:rPr>
        <w:t>,</w:t>
      </w:r>
      <w:r w:rsidRPr="00113D6A">
        <w:rPr>
          <w:rFonts w:cs="Arial"/>
          <w:sz w:val="24"/>
          <w:szCs w:val="24"/>
        </w:rPr>
        <w:t>5kg which declined by 0</w:t>
      </w:r>
      <w:r w:rsidR="0020091F">
        <w:rPr>
          <w:rFonts w:cs="Arial"/>
          <w:sz w:val="24"/>
          <w:szCs w:val="24"/>
        </w:rPr>
        <w:t>,</w:t>
      </w:r>
      <w:r w:rsidRPr="00113D6A">
        <w:rPr>
          <w:rFonts w:cs="Arial"/>
          <w:sz w:val="24"/>
          <w:szCs w:val="24"/>
        </w:rPr>
        <w:t>53% in the first quarter of 2017. The prices of super maize 1kg, super maize 2</w:t>
      </w:r>
      <w:r w:rsidR="0020091F">
        <w:rPr>
          <w:rFonts w:cs="Arial"/>
          <w:sz w:val="24"/>
          <w:szCs w:val="24"/>
        </w:rPr>
        <w:t>,</w:t>
      </w:r>
      <w:r w:rsidRPr="00113D6A">
        <w:rPr>
          <w:rFonts w:cs="Arial"/>
          <w:sz w:val="24"/>
          <w:szCs w:val="24"/>
        </w:rPr>
        <w:t>5kg, (super maize) mealie meal/maize flour  5kg, (special maize) mealie meal/maize flour 1kg, (special maize) mealie meal/maize flour 2</w:t>
      </w:r>
      <w:r w:rsidR="0020091F">
        <w:rPr>
          <w:rFonts w:cs="Arial"/>
          <w:sz w:val="24"/>
          <w:szCs w:val="24"/>
        </w:rPr>
        <w:t>,</w:t>
      </w:r>
      <w:r w:rsidRPr="00113D6A">
        <w:rPr>
          <w:rFonts w:cs="Arial"/>
          <w:sz w:val="24"/>
          <w:szCs w:val="24"/>
        </w:rPr>
        <w:t>5kg were 24</w:t>
      </w:r>
      <w:r w:rsidR="0020091F">
        <w:rPr>
          <w:rFonts w:cs="Arial"/>
          <w:sz w:val="24"/>
          <w:szCs w:val="24"/>
        </w:rPr>
        <w:t>,</w:t>
      </w:r>
      <w:r w:rsidRPr="00113D6A">
        <w:rPr>
          <w:rFonts w:cs="Arial"/>
          <w:sz w:val="24"/>
          <w:szCs w:val="24"/>
        </w:rPr>
        <w:t>08%, 24</w:t>
      </w:r>
      <w:r w:rsidR="0020091F">
        <w:rPr>
          <w:rFonts w:cs="Arial"/>
          <w:sz w:val="24"/>
          <w:szCs w:val="24"/>
        </w:rPr>
        <w:t>,</w:t>
      </w:r>
      <w:r w:rsidRPr="00113D6A">
        <w:rPr>
          <w:rFonts w:cs="Arial"/>
          <w:sz w:val="24"/>
          <w:szCs w:val="24"/>
        </w:rPr>
        <w:t>30%, 26</w:t>
      </w:r>
      <w:r w:rsidR="0020091F">
        <w:rPr>
          <w:rFonts w:cs="Arial"/>
          <w:sz w:val="24"/>
          <w:szCs w:val="24"/>
        </w:rPr>
        <w:t>,</w:t>
      </w:r>
      <w:r w:rsidRPr="00113D6A">
        <w:rPr>
          <w:rFonts w:cs="Arial"/>
          <w:sz w:val="24"/>
          <w:szCs w:val="24"/>
        </w:rPr>
        <w:t>56%, 28</w:t>
      </w:r>
      <w:r w:rsidR="0020091F">
        <w:rPr>
          <w:rFonts w:cs="Arial"/>
          <w:sz w:val="24"/>
          <w:szCs w:val="24"/>
        </w:rPr>
        <w:t>,</w:t>
      </w:r>
      <w:r w:rsidRPr="00113D6A">
        <w:rPr>
          <w:rFonts w:cs="Arial"/>
          <w:sz w:val="24"/>
          <w:szCs w:val="24"/>
        </w:rPr>
        <w:t>60% and 31</w:t>
      </w:r>
      <w:r w:rsidR="0020091F">
        <w:rPr>
          <w:rFonts w:cs="Arial"/>
          <w:sz w:val="24"/>
          <w:szCs w:val="24"/>
        </w:rPr>
        <w:t>,</w:t>
      </w:r>
      <w:r w:rsidRPr="00113D6A">
        <w:rPr>
          <w:rFonts w:cs="Arial"/>
          <w:sz w:val="24"/>
          <w:szCs w:val="24"/>
        </w:rPr>
        <w:t>17%  higher compared to the same period last year.</w:t>
      </w:r>
      <w:r w:rsidRPr="00F25211">
        <w:rPr>
          <w:rFonts w:cs="Arial"/>
          <w:sz w:val="24"/>
          <w:szCs w:val="24"/>
        </w:rPr>
        <w:t xml:space="preserve"> </w:t>
      </w:r>
    </w:p>
    <w:p w:rsidR="009C6281" w:rsidRDefault="009C6281" w:rsidP="009C6281">
      <w:pPr>
        <w:spacing w:after="0"/>
        <w:rPr>
          <w:rFonts w:eastAsia="Times New Roman" w:cs="Arial"/>
          <w:szCs w:val="18"/>
          <w:lang w:val="en-GB"/>
        </w:rPr>
      </w:pPr>
      <w:r w:rsidRPr="00113D6A">
        <w:rPr>
          <w:strike/>
          <w:color w:val="00B050"/>
        </w:rPr>
        <w:t xml:space="preserve"> </w:t>
      </w:r>
      <w:r w:rsidRPr="00113D6A">
        <w:rPr>
          <w:noProof/>
        </w:rPr>
        <w:drawing>
          <wp:inline distT="0" distB="0" distL="0" distR="0" wp14:anchorId="61D2CDE5" wp14:editId="6F31C1D9">
            <wp:extent cx="5734878" cy="3130826"/>
            <wp:effectExtent l="0" t="0" r="18415" b="12700"/>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4D5766">
        <w:rPr>
          <w:rStyle w:val="Heading3Char"/>
          <w:b/>
        </w:rPr>
        <w:t>Figure 1</w:t>
      </w:r>
      <w:r w:rsidR="004D5766" w:rsidRPr="004D5766">
        <w:rPr>
          <w:rStyle w:val="Heading3Char"/>
          <w:b/>
        </w:rPr>
        <w:t>7</w:t>
      </w:r>
      <w:r w:rsidRPr="004D5766">
        <w:rPr>
          <w:rStyle w:val="Heading3Char"/>
          <w:b/>
        </w:rPr>
        <w:t>:</w:t>
      </w:r>
      <w:r w:rsidRPr="002D3BFD">
        <w:rPr>
          <w:rStyle w:val="Heading3Char"/>
        </w:rPr>
        <w:t xml:space="preserve"> Retail prices vs white maize seed prices</w:t>
      </w:r>
      <w:r w:rsidRPr="002D3BFD">
        <w:rPr>
          <w:rStyle w:val="Heading3Char"/>
        </w:rPr>
        <w:br/>
      </w:r>
      <w:r w:rsidRPr="004D5766">
        <w:rPr>
          <w:rFonts w:cs="Arial"/>
          <w:szCs w:val="18"/>
        </w:rPr>
        <w:t xml:space="preserve">Source: </w:t>
      </w:r>
      <w:proofErr w:type="spellStart"/>
      <w:r w:rsidRPr="004D5766">
        <w:rPr>
          <w:rFonts w:cs="Arial"/>
          <w:szCs w:val="18"/>
        </w:rPr>
        <w:t>Safex</w:t>
      </w:r>
      <w:proofErr w:type="spellEnd"/>
      <w:r w:rsidRPr="004D5766">
        <w:rPr>
          <w:rFonts w:cs="Arial"/>
          <w:szCs w:val="18"/>
        </w:rPr>
        <w:t>/Stats SA</w:t>
      </w:r>
    </w:p>
    <w:p w:rsidR="009C6281" w:rsidRPr="00A55A01" w:rsidRDefault="009C6281" w:rsidP="009C6281">
      <w:pPr>
        <w:spacing w:after="0"/>
        <w:rPr>
          <w:color w:val="00B050"/>
        </w:rPr>
      </w:pPr>
    </w:p>
    <w:p w:rsidR="009C6281" w:rsidRDefault="009C6281" w:rsidP="009C6281">
      <w:pPr>
        <w:spacing w:after="0" w:line="360" w:lineRule="auto"/>
        <w:jc w:val="both"/>
        <w:rPr>
          <w:rFonts w:eastAsia="Calibri" w:cs="Arial"/>
          <w:sz w:val="24"/>
          <w:szCs w:val="24"/>
        </w:rPr>
      </w:pPr>
      <w:r w:rsidRPr="00113D6A">
        <w:rPr>
          <w:rFonts w:eastAsia="Calibri" w:cs="Arial"/>
          <w:sz w:val="24"/>
          <w:szCs w:val="24"/>
        </w:rPr>
        <w:t>Figure 1</w:t>
      </w:r>
      <w:r w:rsidR="004D5766">
        <w:rPr>
          <w:rFonts w:eastAsia="Calibri" w:cs="Arial"/>
          <w:sz w:val="24"/>
          <w:szCs w:val="24"/>
        </w:rPr>
        <w:t>8</w:t>
      </w:r>
      <w:r w:rsidRPr="00113D6A">
        <w:rPr>
          <w:rFonts w:eastAsia="Calibri" w:cs="Arial"/>
          <w:sz w:val="24"/>
          <w:szCs w:val="24"/>
        </w:rPr>
        <w:t xml:space="preserve"> shows the supply and demand of white maize from the first quarter of 2015 to the first quarter of 2017. Producer deliveries for the </w:t>
      </w:r>
      <w:proofErr w:type="gramStart"/>
      <w:r w:rsidRPr="00113D6A">
        <w:rPr>
          <w:rFonts w:eastAsia="Calibri" w:cs="Arial"/>
          <w:sz w:val="24"/>
          <w:szCs w:val="24"/>
        </w:rPr>
        <w:t>first  quarter</w:t>
      </w:r>
      <w:proofErr w:type="gramEnd"/>
      <w:r w:rsidRPr="00113D6A">
        <w:rPr>
          <w:rFonts w:eastAsia="Calibri" w:cs="Arial"/>
          <w:sz w:val="24"/>
          <w:szCs w:val="24"/>
        </w:rPr>
        <w:t xml:space="preserve"> of 2017 rebounded by 351</w:t>
      </w:r>
      <w:r w:rsidR="0020091F">
        <w:rPr>
          <w:rFonts w:eastAsia="Calibri" w:cs="Arial"/>
          <w:sz w:val="24"/>
          <w:szCs w:val="24"/>
        </w:rPr>
        <w:t>,</w:t>
      </w:r>
      <w:r w:rsidRPr="00113D6A">
        <w:rPr>
          <w:rFonts w:eastAsia="Calibri" w:cs="Arial"/>
          <w:sz w:val="24"/>
          <w:szCs w:val="24"/>
        </w:rPr>
        <w:t>72% from a contraction of 94</w:t>
      </w:r>
      <w:r w:rsidR="0020091F">
        <w:rPr>
          <w:rFonts w:eastAsia="Calibri" w:cs="Arial"/>
          <w:sz w:val="24"/>
          <w:szCs w:val="24"/>
        </w:rPr>
        <w:t>,</w:t>
      </w:r>
      <w:r w:rsidRPr="00113D6A">
        <w:rPr>
          <w:rFonts w:eastAsia="Calibri" w:cs="Arial"/>
          <w:sz w:val="24"/>
          <w:szCs w:val="24"/>
        </w:rPr>
        <w:t>55% in the fourth quarter of 2016. South Africa’s exports of white maize recorded a double digit increase of 18% during the first quarter of 2017 from a growth of 7% in the fourth quarter of 2016. However, maize surplus has declined for the third consecutive quarter since the third quarter of 2016. Maize surplus declined by 19</w:t>
      </w:r>
      <w:proofErr w:type="gramStart"/>
      <w:r w:rsidRPr="00113D6A">
        <w:rPr>
          <w:rFonts w:eastAsia="Calibri" w:cs="Arial"/>
          <w:sz w:val="24"/>
          <w:szCs w:val="24"/>
        </w:rPr>
        <w:t>,9</w:t>
      </w:r>
      <w:proofErr w:type="gramEnd"/>
      <w:r w:rsidRPr="00113D6A">
        <w:rPr>
          <w:rFonts w:eastAsia="Calibri" w:cs="Arial"/>
          <w:sz w:val="24"/>
          <w:szCs w:val="24"/>
        </w:rPr>
        <w:t xml:space="preserve"> and 49% in quarter 3, quarter 4 of 2016 and quarter 1 of 2017 respectively. The decline is attributed to the drought that affected maize yield in the 2016 season. </w:t>
      </w:r>
      <w:proofErr w:type="gramStart"/>
      <w:r w:rsidRPr="00113D6A">
        <w:rPr>
          <w:rFonts w:eastAsia="Calibri" w:cs="Arial"/>
          <w:sz w:val="24"/>
          <w:szCs w:val="24"/>
        </w:rPr>
        <w:t>Local demand for white maize also contracted by 2% in the first quarter of 2017 from a positive 3% growth in the fourth quarter of 2016.</w:t>
      </w:r>
      <w:proofErr w:type="gramEnd"/>
    </w:p>
    <w:p w:rsidR="009C6281" w:rsidRDefault="009C6281" w:rsidP="009C6281">
      <w:pPr>
        <w:spacing w:after="0" w:line="360" w:lineRule="auto"/>
        <w:jc w:val="both"/>
        <w:rPr>
          <w:rFonts w:eastAsia="Calibri" w:cs="Arial"/>
          <w:sz w:val="24"/>
          <w:szCs w:val="24"/>
        </w:rPr>
      </w:pPr>
    </w:p>
    <w:p w:rsidR="009C6281" w:rsidRDefault="009C6281" w:rsidP="009C6281">
      <w:pPr>
        <w:spacing w:after="0" w:line="360" w:lineRule="auto"/>
        <w:rPr>
          <w:rFonts w:eastAsia="Calibri" w:cs="Arial"/>
          <w:b/>
          <w:color w:val="00B050"/>
          <w:szCs w:val="18"/>
        </w:rPr>
      </w:pPr>
    </w:p>
    <w:p w:rsidR="009C6281" w:rsidRDefault="009C6281" w:rsidP="002D3BFD">
      <w:pPr>
        <w:spacing w:after="0" w:line="240" w:lineRule="auto"/>
        <w:rPr>
          <w:rFonts w:eastAsia="Calibri" w:cs="Arial"/>
          <w:color w:val="00B050"/>
          <w:szCs w:val="18"/>
        </w:rPr>
      </w:pPr>
      <w:r w:rsidRPr="00113D6A">
        <w:rPr>
          <w:noProof/>
        </w:rPr>
        <w:drawing>
          <wp:inline distT="0" distB="0" distL="0" distR="0" wp14:anchorId="62E6A51B" wp14:editId="4558DFA4">
            <wp:extent cx="5731510" cy="2981628"/>
            <wp:effectExtent l="0" t="0" r="21590" b="9525"/>
            <wp:docPr id="173" name="Chart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C6281" w:rsidRPr="00113D6A" w:rsidRDefault="009C6281" w:rsidP="00F403F4">
      <w:pPr>
        <w:pStyle w:val="Heading3"/>
        <w:spacing w:before="0" w:line="240" w:lineRule="auto"/>
        <w:rPr>
          <w:rFonts w:eastAsia="Calibri"/>
        </w:rPr>
      </w:pPr>
      <w:bookmarkStart w:id="152" w:name="_Toc489345769"/>
      <w:bookmarkStart w:id="153" w:name="_Toc489345974"/>
      <w:bookmarkStart w:id="154" w:name="_Toc489537725"/>
      <w:r w:rsidRPr="00F403F4">
        <w:rPr>
          <w:rFonts w:eastAsia="Calibri"/>
          <w:b/>
        </w:rPr>
        <w:t>Figure 1</w:t>
      </w:r>
      <w:r w:rsidR="004D5766">
        <w:rPr>
          <w:rFonts w:eastAsia="Calibri"/>
          <w:b/>
        </w:rPr>
        <w:t>8</w:t>
      </w:r>
      <w:r w:rsidRPr="00F403F4">
        <w:rPr>
          <w:rFonts w:eastAsia="Calibri"/>
          <w:b/>
        </w:rPr>
        <w:t>:</w:t>
      </w:r>
      <w:r w:rsidRPr="00113D6A">
        <w:rPr>
          <w:rFonts w:eastAsia="Calibri"/>
        </w:rPr>
        <w:t xml:space="preserve"> Supply and demand of white maize</w:t>
      </w:r>
      <w:bookmarkEnd w:id="152"/>
      <w:bookmarkEnd w:id="153"/>
      <w:bookmarkEnd w:id="154"/>
    </w:p>
    <w:p w:rsidR="009C6281" w:rsidRPr="004D5766" w:rsidRDefault="009C6281" w:rsidP="004D5766">
      <w:pPr>
        <w:rPr>
          <w:rFonts w:eastAsia="Calibri" w:cs="Arial"/>
          <w:szCs w:val="18"/>
        </w:rPr>
      </w:pPr>
      <w:bookmarkStart w:id="155" w:name="_Toc489345770"/>
      <w:bookmarkStart w:id="156" w:name="_Toc489345975"/>
      <w:r w:rsidRPr="004D5766">
        <w:rPr>
          <w:rFonts w:eastAsia="Calibri" w:cs="Arial"/>
          <w:szCs w:val="18"/>
        </w:rPr>
        <w:t xml:space="preserve">Source: </w:t>
      </w:r>
      <w:proofErr w:type="spellStart"/>
      <w:r w:rsidRPr="004D5766">
        <w:rPr>
          <w:rFonts w:eastAsia="Calibri" w:cs="Arial"/>
          <w:szCs w:val="18"/>
        </w:rPr>
        <w:t>Sagis</w:t>
      </w:r>
      <w:bookmarkEnd w:id="155"/>
      <w:bookmarkEnd w:id="156"/>
      <w:proofErr w:type="spellEnd"/>
    </w:p>
    <w:p w:rsidR="009C6281" w:rsidRPr="00510428" w:rsidRDefault="009C6281" w:rsidP="009C6281">
      <w:pPr>
        <w:rPr>
          <w:color w:val="00B050"/>
        </w:rPr>
      </w:pPr>
      <w:r w:rsidRPr="00510428">
        <w:rPr>
          <w:color w:val="00B050"/>
        </w:rPr>
        <w:t xml:space="preserve"> </w:t>
      </w:r>
    </w:p>
    <w:p w:rsidR="009C6281" w:rsidRDefault="009C6281" w:rsidP="009C6281">
      <w:pPr>
        <w:spacing w:line="360" w:lineRule="auto"/>
        <w:jc w:val="both"/>
        <w:rPr>
          <w:rFonts w:eastAsia="Calibri" w:cs="Arial"/>
          <w:sz w:val="24"/>
          <w:szCs w:val="24"/>
        </w:rPr>
      </w:pPr>
      <w:r w:rsidRPr="00113D6A">
        <w:rPr>
          <w:rFonts w:eastAsia="Calibri" w:cs="Arial"/>
          <w:sz w:val="24"/>
          <w:szCs w:val="24"/>
        </w:rPr>
        <w:t>Figure 1</w:t>
      </w:r>
      <w:r w:rsidR="004D5766">
        <w:rPr>
          <w:rFonts w:eastAsia="Calibri" w:cs="Arial"/>
          <w:sz w:val="24"/>
          <w:szCs w:val="24"/>
        </w:rPr>
        <w:t>9</w:t>
      </w:r>
      <w:r w:rsidRPr="00113D6A">
        <w:rPr>
          <w:rFonts w:eastAsia="Calibri" w:cs="Arial"/>
          <w:sz w:val="24"/>
          <w:szCs w:val="24"/>
        </w:rPr>
        <w:t xml:space="preserve"> shows the supply and demand of yellow maize from the first quarter of 2015 to the first quarter of 2017.  Producer deliveries and imports of yellow maize rebounded by 77</w:t>
      </w:r>
      <w:r w:rsidR="008C01DE">
        <w:rPr>
          <w:rFonts w:eastAsia="Calibri" w:cs="Arial"/>
          <w:sz w:val="24"/>
          <w:szCs w:val="24"/>
        </w:rPr>
        <w:t>,</w:t>
      </w:r>
      <w:r w:rsidRPr="00113D6A">
        <w:rPr>
          <w:rFonts w:eastAsia="Calibri" w:cs="Arial"/>
          <w:sz w:val="24"/>
          <w:szCs w:val="24"/>
        </w:rPr>
        <w:t>24% and 23</w:t>
      </w:r>
      <w:r w:rsidR="008C01DE">
        <w:rPr>
          <w:rFonts w:eastAsia="Calibri" w:cs="Arial"/>
          <w:sz w:val="24"/>
          <w:szCs w:val="24"/>
        </w:rPr>
        <w:t>,</w:t>
      </w:r>
      <w:r w:rsidRPr="00113D6A">
        <w:rPr>
          <w:rFonts w:eastAsia="Calibri" w:cs="Arial"/>
          <w:sz w:val="24"/>
          <w:szCs w:val="24"/>
        </w:rPr>
        <w:t>62% during the first quarter of 2017 respectively, while the year-on-year for producer deliveries and imports of yellow maize were 12</w:t>
      </w:r>
      <w:r w:rsidR="008C01DE">
        <w:rPr>
          <w:rFonts w:eastAsia="Calibri" w:cs="Arial"/>
          <w:sz w:val="24"/>
          <w:szCs w:val="24"/>
        </w:rPr>
        <w:t>,</w:t>
      </w:r>
      <w:r w:rsidRPr="00113D6A">
        <w:rPr>
          <w:rFonts w:eastAsia="Calibri" w:cs="Arial"/>
          <w:sz w:val="24"/>
          <w:szCs w:val="24"/>
        </w:rPr>
        <w:t>83% and 47</w:t>
      </w:r>
      <w:r w:rsidR="008C01DE">
        <w:rPr>
          <w:rFonts w:eastAsia="Calibri" w:cs="Arial"/>
          <w:sz w:val="24"/>
          <w:szCs w:val="24"/>
        </w:rPr>
        <w:t>,</w:t>
      </w:r>
      <w:r w:rsidRPr="00113D6A">
        <w:rPr>
          <w:rFonts w:eastAsia="Calibri" w:cs="Arial"/>
          <w:sz w:val="24"/>
          <w:szCs w:val="24"/>
        </w:rPr>
        <w:t>35% lower respectively. On the other hand, the local demand of yellow maize decelerated from by 6</w:t>
      </w:r>
      <w:proofErr w:type="gramStart"/>
      <w:r w:rsidR="008C01DE">
        <w:rPr>
          <w:rFonts w:eastAsia="Calibri" w:cs="Arial"/>
          <w:sz w:val="24"/>
          <w:szCs w:val="24"/>
        </w:rPr>
        <w:t>,</w:t>
      </w:r>
      <w:r w:rsidRPr="00113D6A">
        <w:rPr>
          <w:rFonts w:eastAsia="Calibri" w:cs="Arial"/>
          <w:sz w:val="24"/>
          <w:szCs w:val="24"/>
        </w:rPr>
        <w:t>61</w:t>
      </w:r>
      <w:proofErr w:type="gramEnd"/>
      <w:r w:rsidRPr="00113D6A">
        <w:rPr>
          <w:rFonts w:eastAsia="Calibri" w:cs="Arial"/>
          <w:sz w:val="24"/>
          <w:szCs w:val="24"/>
        </w:rPr>
        <w:t>% in in the first quarter from a contraction of 3</w:t>
      </w:r>
      <w:r w:rsidR="008C01DE">
        <w:rPr>
          <w:rFonts w:eastAsia="Calibri" w:cs="Arial"/>
          <w:sz w:val="24"/>
          <w:szCs w:val="24"/>
        </w:rPr>
        <w:t>,</w:t>
      </w:r>
      <w:r w:rsidRPr="00113D6A">
        <w:rPr>
          <w:rFonts w:eastAsia="Calibri" w:cs="Arial"/>
          <w:sz w:val="24"/>
          <w:szCs w:val="24"/>
        </w:rPr>
        <w:t>19% in the fourth quarter of 2016. Exports also took a knock, from a positive growth of 56</w:t>
      </w:r>
      <w:proofErr w:type="gramStart"/>
      <w:r w:rsidR="008C01DE">
        <w:rPr>
          <w:rFonts w:eastAsia="Calibri" w:cs="Arial"/>
          <w:sz w:val="24"/>
          <w:szCs w:val="24"/>
        </w:rPr>
        <w:t>,</w:t>
      </w:r>
      <w:r w:rsidRPr="00113D6A">
        <w:rPr>
          <w:rFonts w:eastAsia="Calibri" w:cs="Arial"/>
          <w:sz w:val="24"/>
          <w:szCs w:val="24"/>
        </w:rPr>
        <w:t>36</w:t>
      </w:r>
      <w:proofErr w:type="gramEnd"/>
      <w:r w:rsidRPr="00113D6A">
        <w:rPr>
          <w:rFonts w:eastAsia="Calibri" w:cs="Arial"/>
          <w:sz w:val="24"/>
          <w:szCs w:val="24"/>
        </w:rPr>
        <w:t>% in the fourth quarter to a contraction of 24</w:t>
      </w:r>
      <w:r w:rsidR="008C01DE">
        <w:rPr>
          <w:rFonts w:eastAsia="Calibri" w:cs="Arial"/>
          <w:sz w:val="24"/>
          <w:szCs w:val="24"/>
        </w:rPr>
        <w:t>,</w:t>
      </w:r>
      <w:r w:rsidRPr="00113D6A">
        <w:rPr>
          <w:rFonts w:eastAsia="Calibri" w:cs="Arial"/>
          <w:sz w:val="24"/>
          <w:szCs w:val="24"/>
        </w:rPr>
        <w:t>43% in the first quarter of 2017.</w:t>
      </w:r>
      <w:r>
        <w:rPr>
          <w:rFonts w:eastAsia="Calibri" w:cs="Arial"/>
          <w:sz w:val="24"/>
          <w:szCs w:val="24"/>
        </w:rPr>
        <w:t xml:space="preserve"> </w:t>
      </w:r>
    </w:p>
    <w:p w:rsidR="009C6281" w:rsidRDefault="009C6281" w:rsidP="009C6281">
      <w:pPr>
        <w:rPr>
          <w:color w:val="00B050"/>
        </w:rPr>
      </w:pPr>
    </w:p>
    <w:p w:rsidR="009C6281" w:rsidRPr="00510428" w:rsidRDefault="009C6281" w:rsidP="002D3BFD">
      <w:pPr>
        <w:spacing w:after="0" w:line="240" w:lineRule="auto"/>
        <w:rPr>
          <w:color w:val="00B050"/>
        </w:rPr>
      </w:pPr>
      <w:r w:rsidRPr="00113D6A">
        <w:rPr>
          <w:noProof/>
        </w:rPr>
        <w:drawing>
          <wp:inline distT="0" distB="0" distL="0" distR="0" wp14:anchorId="7D886074" wp14:editId="73E94616">
            <wp:extent cx="5495925" cy="2743200"/>
            <wp:effectExtent l="0" t="0" r="9525" b="19050"/>
            <wp:docPr id="174" name="Chart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C6281" w:rsidRPr="00113D6A" w:rsidRDefault="009C6281" w:rsidP="002D3BFD">
      <w:pPr>
        <w:pStyle w:val="Heading3"/>
        <w:spacing w:before="0" w:line="240" w:lineRule="auto"/>
        <w:rPr>
          <w:b/>
        </w:rPr>
      </w:pPr>
      <w:bookmarkStart w:id="157" w:name="_Toc489345771"/>
      <w:bookmarkStart w:id="158" w:name="_Toc489345976"/>
      <w:bookmarkStart w:id="159" w:name="_Toc489537726"/>
      <w:r w:rsidRPr="00113D6A">
        <w:rPr>
          <w:b/>
        </w:rPr>
        <w:t>Figure 1</w:t>
      </w:r>
      <w:r w:rsidR="004D5766">
        <w:rPr>
          <w:b/>
        </w:rPr>
        <w:t>9</w:t>
      </w:r>
      <w:r w:rsidRPr="00113D6A">
        <w:rPr>
          <w:b/>
        </w:rPr>
        <w:t xml:space="preserve">: </w:t>
      </w:r>
      <w:r w:rsidRPr="00113D6A">
        <w:t>Supply and demand of yellow maize</w:t>
      </w:r>
      <w:bookmarkEnd w:id="157"/>
      <w:bookmarkEnd w:id="158"/>
      <w:bookmarkEnd w:id="159"/>
    </w:p>
    <w:p w:rsidR="009C6281" w:rsidRPr="004D5766" w:rsidRDefault="009C6281" w:rsidP="004D5766">
      <w:pPr>
        <w:rPr>
          <w:rFonts w:cs="Arial"/>
          <w:szCs w:val="18"/>
        </w:rPr>
      </w:pPr>
      <w:bookmarkStart w:id="160" w:name="_Toc489345772"/>
      <w:bookmarkStart w:id="161" w:name="_Toc489345977"/>
      <w:r w:rsidRPr="004D5766">
        <w:rPr>
          <w:rFonts w:cs="Arial"/>
          <w:szCs w:val="18"/>
        </w:rPr>
        <w:t xml:space="preserve">Source: </w:t>
      </w:r>
      <w:proofErr w:type="spellStart"/>
      <w:r w:rsidRPr="004D5766">
        <w:rPr>
          <w:rFonts w:cs="Arial"/>
          <w:szCs w:val="18"/>
        </w:rPr>
        <w:t>Sagis</w:t>
      </w:r>
      <w:bookmarkEnd w:id="160"/>
      <w:bookmarkEnd w:id="161"/>
      <w:proofErr w:type="spellEnd"/>
    </w:p>
    <w:p w:rsidR="002B2894" w:rsidRPr="009C6281" w:rsidRDefault="002B2894" w:rsidP="009C6281">
      <w:pPr>
        <w:pStyle w:val="Heading2"/>
        <w:spacing w:line="360" w:lineRule="auto"/>
      </w:pPr>
      <w:bookmarkStart w:id="162" w:name="_Toc489345773"/>
      <w:bookmarkStart w:id="163" w:name="_Toc489345978"/>
      <w:bookmarkStart w:id="164" w:name="_Toc489537727"/>
      <w:r w:rsidRPr="009C6281">
        <w:t>3.1.2 Wheat</w:t>
      </w:r>
      <w:bookmarkEnd w:id="162"/>
      <w:bookmarkEnd w:id="163"/>
      <w:bookmarkEnd w:id="164"/>
    </w:p>
    <w:p w:rsidR="007032EC" w:rsidRPr="007032EC" w:rsidRDefault="007032EC" w:rsidP="009C6281">
      <w:pPr>
        <w:spacing w:after="0" w:line="360" w:lineRule="auto"/>
        <w:jc w:val="both"/>
        <w:rPr>
          <w:rFonts w:eastAsia="Calibri" w:cs="Arial"/>
          <w:sz w:val="24"/>
          <w:szCs w:val="24"/>
        </w:rPr>
      </w:pPr>
      <w:r w:rsidRPr="007032EC">
        <w:rPr>
          <w:rFonts w:eastAsia="Calibri" w:cs="Arial"/>
          <w:sz w:val="24"/>
          <w:szCs w:val="24"/>
        </w:rPr>
        <w:t>Globally wheat is still in ample supply and remains at record high regardless of Kazakhstan and India which caused a reduced global forecast; February 2017, world wheat production was projected down by 4</w:t>
      </w:r>
      <w:r w:rsidR="005350A6">
        <w:rPr>
          <w:rFonts w:eastAsia="Calibri" w:cs="Arial"/>
          <w:sz w:val="24"/>
          <w:szCs w:val="24"/>
        </w:rPr>
        <w:t>,</w:t>
      </w:r>
      <w:r w:rsidRPr="007032EC">
        <w:rPr>
          <w:rFonts w:eastAsia="Calibri" w:cs="Arial"/>
          <w:sz w:val="24"/>
          <w:szCs w:val="24"/>
        </w:rPr>
        <w:t>5 million tons to 748</w:t>
      </w:r>
      <w:r w:rsidR="005350A6">
        <w:rPr>
          <w:rFonts w:eastAsia="Calibri" w:cs="Arial"/>
          <w:sz w:val="24"/>
          <w:szCs w:val="24"/>
        </w:rPr>
        <w:t>,</w:t>
      </w:r>
      <w:r w:rsidRPr="007032EC">
        <w:rPr>
          <w:rFonts w:eastAsia="Calibri" w:cs="Arial"/>
          <w:sz w:val="24"/>
          <w:szCs w:val="24"/>
        </w:rPr>
        <w:t>2 million tons, but still higher than last year’s record by 12</w:t>
      </w:r>
      <w:r w:rsidR="00D44824">
        <w:rPr>
          <w:rFonts w:eastAsia="Calibri" w:cs="Arial"/>
          <w:sz w:val="24"/>
          <w:szCs w:val="24"/>
        </w:rPr>
        <w:t>,</w:t>
      </w:r>
      <w:r w:rsidRPr="007032EC">
        <w:rPr>
          <w:rFonts w:eastAsia="Calibri" w:cs="Arial"/>
          <w:sz w:val="24"/>
          <w:szCs w:val="24"/>
        </w:rPr>
        <w:t>7 million tons. During the fourth quarter</w:t>
      </w:r>
      <w:r w:rsidR="00D44824">
        <w:rPr>
          <w:rFonts w:eastAsia="Calibri" w:cs="Arial"/>
          <w:sz w:val="24"/>
          <w:szCs w:val="24"/>
        </w:rPr>
        <w:t>,</w:t>
      </w:r>
      <w:r w:rsidRPr="007032EC">
        <w:rPr>
          <w:rFonts w:eastAsia="Calibri" w:cs="Arial"/>
          <w:sz w:val="24"/>
          <w:szCs w:val="24"/>
        </w:rPr>
        <w:t xml:space="preserve"> global trade boosted to a new record with stronger import demand from several Asian countries and Brazil; with the lager exports for Australia, Argentina and the EU partially offset by a decrease for Canada. On the other hand the United States wheat planting estimate made a record low at 46</w:t>
      </w:r>
      <w:r w:rsidR="00D44824">
        <w:rPr>
          <w:rFonts w:eastAsia="Calibri" w:cs="Arial"/>
          <w:sz w:val="24"/>
          <w:szCs w:val="24"/>
        </w:rPr>
        <w:t>,</w:t>
      </w:r>
      <w:r w:rsidRPr="007032EC">
        <w:rPr>
          <w:rFonts w:eastAsia="Calibri" w:cs="Arial"/>
          <w:sz w:val="24"/>
          <w:szCs w:val="24"/>
        </w:rPr>
        <w:t>0 million acres; also the weather in the United States gives an unfavourable future wheat harvest; all this will put pressure on wheat prices.  According to USDA (2017) wheat production in South Africa (2016/17) is estimated at 1</w:t>
      </w:r>
      <w:r w:rsidR="00D44824">
        <w:rPr>
          <w:rFonts w:eastAsia="Calibri" w:cs="Arial"/>
          <w:sz w:val="24"/>
          <w:szCs w:val="24"/>
        </w:rPr>
        <w:t>,</w:t>
      </w:r>
      <w:r w:rsidRPr="007032EC">
        <w:rPr>
          <w:rFonts w:eastAsia="Calibri" w:cs="Arial"/>
          <w:sz w:val="24"/>
          <w:szCs w:val="24"/>
        </w:rPr>
        <w:t>88 million metric tons, up to 436 000 tons from last year’s output; with the harvested area estimated at 508 000 hectares, up by 26 000 hectares from last year. During the first quarter of 2017, national treasury announced that the wheat tariff formula will remain until the end of March 2017.</w:t>
      </w:r>
    </w:p>
    <w:p w:rsidR="007032EC" w:rsidRPr="009C6281" w:rsidRDefault="007032EC" w:rsidP="004D5766">
      <w:pPr>
        <w:spacing w:after="0" w:line="240" w:lineRule="auto"/>
        <w:rPr>
          <w:rStyle w:val="Heading3Char"/>
        </w:rPr>
      </w:pPr>
      <w:r w:rsidRPr="00EA37A6">
        <w:rPr>
          <w:rFonts w:eastAsia="Calibri"/>
          <w:noProof/>
        </w:rPr>
        <w:drawing>
          <wp:inline distT="0" distB="0" distL="0" distR="0" wp14:anchorId="5732B540" wp14:editId="4F602A72">
            <wp:extent cx="5731510" cy="3343381"/>
            <wp:effectExtent l="0" t="0" r="21590" b="9525"/>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B22323">
        <w:rPr>
          <w:rStyle w:val="Heading3Char"/>
          <w:b/>
        </w:rPr>
        <w:t>Figure</w:t>
      </w:r>
      <w:r w:rsidR="004D5766" w:rsidRPr="00B22323">
        <w:rPr>
          <w:rStyle w:val="Heading3Char"/>
          <w:b/>
        </w:rPr>
        <w:t xml:space="preserve"> 20</w:t>
      </w:r>
      <w:r w:rsidRPr="00B22323">
        <w:rPr>
          <w:rStyle w:val="Heading3Char"/>
        </w:rPr>
        <w:t xml:space="preserve">: Wheat </w:t>
      </w:r>
      <w:proofErr w:type="spellStart"/>
      <w:r w:rsidRPr="00B22323">
        <w:rPr>
          <w:rStyle w:val="Heading3Char"/>
        </w:rPr>
        <w:t>safex</w:t>
      </w:r>
      <w:proofErr w:type="spellEnd"/>
      <w:r w:rsidRPr="00B22323">
        <w:rPr>
          <w:rStyle w:val="Heading3Char"/>
        </w:rPr>
        <w:t xml:space="preserve"> price, Export price and Import price</w:t>
      </w:r>
    </w:p>
    <w:p w:rsidR="007032EC" w:rsidRPr="004D5766" w:rsidRDefault="007032EC" w:rsidP="004D5766">
      <w:pPr>
        <w:spacing w:after="0" w:line="240" w:lineRule="auto"/>
        <w:rPr>
          <w:rFonts w:eastAsia="Calibri" w:cs="Arial"/>
          <w:szCs w:val="18"/>
        </w:rPr>
      </w:pPr>
      <w:bookmarkStart w:id="165" w:name="_Toc489345774"/>
      <w:bookmarkStart w:id="166" w:name="_Toc489345979"/>
      <w:r w:rsidRPr="004D5766">
        <w:rPr>
          <w:rFonts w:eastAsia="Calibri" w:cs="Arial"/>
          <w:szCs w:val="18"/>
        </w:rPr>
        <w:t xml:space="preserve">Source: </w:t>
      </w:r>
      <w:proofErr w:type="spellStart"/>
      <w:r w:rsidRPr="004D5766">
        <w:rPr>
          <w:rFonts w:eastAsia="Calibri" w:cs="Arial"/>
          <w:szCs w:val="18"/>
        </w:rPr>
        <w:t>Sagis</w:t>
      </w:r>
      <w:proofErr w:type="spellEnd"/>
      <w:r w:rsidRPr="004D5766">
        <w:rPr>
          <w:rFonts w:eastAsia="Calibri" w:cs="Arial"/>
          <w:szCs w:val="18"/>
        </w:rPr>
        <w:t>/</w:t>
      </w:r>
      <w:proofErr w:type="spellStart"/>
      <w:r w:rsidRPr="004D5766">
        <w:rPr>
          <w:rFonts w:eastAsia="Calibri" w:cs="Arial"/>
          <w:szCs w:val="18"/>
        </w:rPr>
        <w:t>Safex</w:t>
      </w:r>
      <w:bookmarkEnd w:id="165"/>
      <w:bookmarkEnd w:id="166"/>
      <w:proofErr w:type="spellEnd"/>
    </w:p>
    <w:p w:rsidR="009C6281" w:rsidRDefault="009C6281" w:rsidP="007032EC">
      <w:pPr>
        <w:spacing w:after="0" w:line="360" w:lineRule="auto"/>
        <w:jc w:val="both"/>
        <w:rPr>
          <w:rFonts w:eastAsia="Calibri" w:cs="Arial"/>
          <w:sz w:val="24"/>
          <w:szCs w:val="24"/>
        </w:rPr>
      </w:pPr>
    </w:p>
    <w:p w:rsidR="007032EC" w:rsidRPr="007032EC" w:rsidRDefault="00203CD9" w:rsidP="007032EC">
      <w:pPr>
        <w:spacing w:after="0" w:line="360" w:lineRule="auto"/>
        <w:jc w:val="both"/>
        <w:rPr>
          <w:rFonts w:eastAsia="Calibri" w:cs="Arial"/>
          <w:sz w:val="24"/>
          <w:szCs w:val="24"/>
        </w:rPr>
      </w:pPr>
      <w:r>
        <w:rPr>
          <w:rFonts w:eastAsia="Calibri" w:cs="Arial"/>
          <w:sz w:val="24"/>
          <w:szCs w:val="24"/>
        </w:rPr>
        <w:t>Figure</w:t>
      </w:r>
      <w:r w:rsidR="004D5766">
        <w:rPr>
          <w:rFonts w:eastAsia="Calibri" w:cs="Arial"/>
          <w:sz w:val="24"/>
          <w:szCs w:val="24"/>
        </w:rPr>
        <w:t xml:space="preserve"> 20</w:t>
      </w:r>
      <w:r w:rsidR="007032EC" w:rsidRPr="007032EC">
        <w:rPr>
          <w:rFonts w:eastAsia="Calibri" w:cs="Arial"/>
          <w:sz w:val="24"/>
          <w:szCs w:val="24"/>
        </w:rPr>
        <w:t xml:space="preserve"> illustrates the wheat </w:t>
      </w:r>
      <w:proofErr w:type="spellStart"/>
      <w:r w:rsidR="007032EC" w:rsidRPr="007032EC">
        <w:rPr>
          <w:rFonts w:eastAsia="Calibri" w:cs="Arial"/>
          <w:sz w:val="24"/>
          <w:szCs w:val="24"/>
        </w:rPr>
        <w:t>safex</w:t>
      </w:r>
      <w:proofErr w:type="spellEnd"/>
      <w:r w:rsidR="007032EC" w:rsidRPr="007032EC">
        <w:rPr>
          <w:rFonts w:eastAsia="Calibri" w:cs="Arial"/>
          <w:sz w:val="24"/>
          <w:szCs w:val="24"/>
        </w:rPr>
        <w:t xml:space="preserve"> prices, exports price and import price seen from January 2014 to March 2017. In the first quarter of 2017, the rand was stronger compared to the dollar; however</w:t>
      </w:r>
      <w:r w:rsidR="00D44824">
        <w:rPr>
          <w:rFonts w:eastAsia="Calibri" w:cs="Arial"/>
          <w:sz w:val="24"/>
          <w:szCs w:val="24"/>
        </w:rPr>
        <w:t>,</w:t>
      </w:r>
      <w:r w:rsidR="007032EC" w:rsidRPr="007032EC">
        <w:rPr>
          <w:rFonts w:eastAsia="Calibri" w:cs="Arial"/>
          <w:sz w:val="24"/>
          <w:szCs w:val="24"/>
        </w:rPr>
        <w:t xml:space="preserve"> the strong rand impact negatively on import parity. As mentioned before globally, wheat is in ample supply and remains at record high; therefore favourable production and high carry out stocks keep international prices low; but because South African wheat prices are determined by international wheat price, the exchange rate and the local supply and demand for  wheat. South Africa is not self-sufficient in the production of wheat; therefore approximately 60% of our local consumption is imported. In the first quarter of 2017, </w:t>
      </w:r>
      <w:r w:rsidR="00D44824">
        <w:rPr>
          <w:rFonts w:eastAsia="Calibri" w:cs="Arial"/>
          <w:sz w:val="24"/>
          <w:szCs w:val="24"/>
        </w:rPr>
        <w:t>i</w:t>
      </w:r>
      <w:r w:rsidR="007032EC" w:rsidRPr="007032EC">
        <w:rPr>
          <w:rFonts w:eastAsia="Calibri" w:cs="Arial"/>
          <w:sz w:val="24"/>
          <w:szCs w:val="24"/>
        </w:rPr>
        <w:t xml:space="preserve">mport price (R/ton), the price of wheat and export price all went up, but import price was selling above the wheat </w:t>
      </w:r>
      <w:proofErr w:type="spellStart"/>
      <w:r w:rsidR="007032EC" w:rsidRPr="007032EC">
        <w:rPr>
          <w:rFonts w:eastAsia="Calibri" w:cs="Arial"/>
          <w:sz w:val="24"/>
          <w:szCs w:val="24"/>
        </w:rPr>
        <w:t>safex</w:t>
      </w:r>
      <w:proofErr w:type="spellEnd"/>
      <w:r w:rsidR="007032EC" w:rsidRPr="007032EC">
        <w:rPr>
          <w:rFonts w:eastAsia="Calibri" w:cs="Arial"/>
          <w:sz w:val="24"/>
          <w:szCs w:val="24"/>
        </w:rPr>
        <w:t xml:space="preserve"> price and export price.</w:t>
      </w:r>
    </w:p>
    <w:p w:rsidR="007032EC" w:rsidRPr="007032EC" w:rsidRDefault="007032EC" w:rsidP="007032EC">
      <w:pPr>
        <w:spacing w:after="0" w:line="360" w:lineRule="auto"/>
        <w:jc w:val="both"/>
        <w:rPr>
          <w:rFonts w:eastAsia="Calibri" w:cs="Arial"/>
          <w:sz w:val="24"/>
          <w:szCs w:val="24"/>
        </w:rPr>
      </w:pPr>
      <w:r w:rsidRPr="007032EC">
        <w:rPr>
          <w:rFonts w:eastAsia="Calibri" w:cs="Arial"/>
          <w:sz w:val="24"/>
          <w:szCs w:val="24"/>
        </w:rPr>
        <w:t xml:space="preserve"> As presented in </w:t>
      </w:r>
      <w:r w:rsidR="00D44824">
        <w:rPr>
          <w:rFonts w:eastAsia="Calibri" w:cs="Arial"/>
          <w:sz w:val="24"/>
          <w:szCs w:val="24"/>
        </w:rPr>
        <w:t>F</w:t>
      </w:r>
      <w:r w:rsidRPr="007032EC">
        <w:rPr>
          <w:rFonts w:eastAsia="Calibri" w:cs="Arial"/>
          <w:sz w:val="24"/>
          <w:szCs w:val="24"/>
        </w:rPr>
        <w:t>igure</w:t>
      </w:r>
      <w:r w:rsidR="00203CD9">
        <w:rPr>
          <w:rFonts w:eastAsia="Calibri" w:cs="Arial"/>
          <w:sz w:val="24"/>
          <w:szCs w:val="24"/>
        </w:rPr>
        <w:t xml:space="preserve"> 16</w:t>
      </w:r>
      <w:r w:rsidRPr="007032EC">
        <w:rPr>
          <w:rFonts w:eastAsia="Calibri" w:cs="Arial"/>
          <w:sz w:val="24"/>
          <w:szCs w:val="24"/>
        </w:rPr>
        <w:t>, comparing first quarter of 2016 with first quarter of 2017; the price of bread rose by 10</w:t>
      </w:r>
      <w:r w:rsidR="00D44824">
        <w:rPr>
          <w:rFonts w:eastAsia="Calibri" w:cs="Arial"/>
          <w:sz w:val="24"/>
          <w:szCs w:val="24"/>
        </w:rPr>
        <w:t>,</w:t>
      </w:r>
      <w:r w:rsidRPr="007032EC">
        <w:rPr>
          <w:rFonts w:eastAsia="Calibri" w:cs="Arial"/>
          <w:sz w:val="24"/>
          <w:szCs w:val="24"/>
        </w:rPr>
        <w:t>0% and 8</w:t>
      </w:r>
      <w:r w:rsidR="00D44824">
        <w:rPr>
          <w:rFonts w:eastAsia="Calibri" w:cs="Arial"/>
          <w:sz w:val="24"/>
          <w:szCs w:val="24"/>
        </w:rPr>
        <w:t>,</w:t>
      </w:r>
      <w:r w:rsidRPr="007032EC">
        <w:rPr>
          <w:rFonts w:eastAsia="Calibri" w:cs="Arial"/>
          <w:sz w:val="24"/>
          <w:szCs w:val="24"/>
        </w:rPr>
        <w:t>91% for both 700 grams of (brown and white bread) respectively; that is from R11</w:t>
      </w:r>
      <w:r w:rsidR="00D44824">
        <w:rPr>
          <w:rFonts w:eastAsia="Calibri" w:cs="Arial"/>
          <w:sz w:val="24"/>
          <w:szCs w:val="24"/>
        </w:rPr>
        <w:t>,</w:t>
      </w:r>
      <w:r w:rsidRPr="007032EC">
        <w:rPr>
          <w:rFonts w:eastAsia="Calibri" w:cs="Arial"/>
          <w:sz w:val="24"/>
          <w:szCs w:val="24"/>
        </w:rPr>
        <w:t>14 to R12</w:t>
      </w:r>
      <w:r w:rsidR="00D44824">
        <w:rPr>
          <w:rFonts w:eastAsia="Calibri" w:cs="Arial"/>
          <w:sz w:val="24"/>
          <w:szCs w:val="24"/>
        </w:rPr>
        <w:t>,</w:t>
      </w:r>
      <w:r w:rsidRPr="007032EC">
        <w:rPr>
          <w:rFonts w:eastAsia="Calibri" w:cs="Arial"/>
          <w:sz w:val="24"/>
          <w:szCs w:val="24"/>
        </w:rPr>
        <w:t>23 bread brown and R12</w:t>
      </w:r>
      <w:r w:rsidR="00D44824">
        <w:rPr>
          <w:rFonts w:eastAsia="Calibri" w:cs="Arial"/>
          <w:sz w:val="24"/>
          <w:szCs w:val="24"/>
        </w:rPr>
        <w:t>,</w:t>
      </w:r>
      <w:r w:rsidRPr="007032EC">
        <w:rPr>
          <w:rFonts w:eastAsia="Calibri" w:cs="Arial"/>
          <w:sz w:val="24"/>
          <w:szCs w:val="24"/>
        </w:rPr>
        <w:t>31 to R13</w:t>
      </w:r>
      <w:r w:rsidR="00D44824">
        <w:rPr>
          <w:rFonts w:eastAsia="Calibri" w:cs="Arial"/>
          <w:sz w:val="24"/>
          <w:szCs w:val="24"/>
        </w:rPr>
        <w:t>,</w:t>
      </w:r>
      <w:r w:rsidRPr="007032EC">
        <w:rPr>
          <w:rFonts w:eastAsia="Calibri" w:cs="Arial"/>
          <w:sz w:val="24"/>
          <w:szCs w:val="24"/>
        </w:rPr>
        <w:t>41 bread white. On the other hand the price of bread brown (600gr) went down by 1</w:t>
      </w:r>
      <w:r w:rsidR="00D44824">
        <w:rPr>
          <w:rFonts w:eastAsia="Calibri" w:cs="Arial"/>
          <w:sz w:val="24"/>
          <w:szCs w:val="24"/>
        </w:rPr>
        <w:t>,</w:t>
      </w:r>
      <w:r w:rsidRPr="007032EC">
        <w:rPr>
          <w:rFonts w:eastAsia="Calibri" w:cs="Arial"/>
          <w:sz w:val="24"/>
          <w:szCs w:val="24"/>
        </w:rPr>
        <w:t>45%; cake flour and bread flour prices increased by 5</w:t>
      </w:r>
      <w:r w:rsidR="00D44824">
        <w:rPr>
          <w:rFonts w:eastAsia="Calibri" w:cs="Arial"/>
          <w:sz w:val="24"/>
          <w:szCs w:val="24"/>
        </w:rPr>
        <w:t>,</w:t>
      </w:r>
      <w:r w:rsidRPr="007032EC">
        <w:rPr>
          <w:rFonts w:eastAsia="Calibri" w:cs="Arial"/>
          <w:sz w:val="24"/>
          <w:szCs w:val="24"/>
        </w:rPr>
        <w:t>82% and 8</w:t>
      </w:r>
      <w:r w:rsidR="00D44824">
        <w:rPr>
          <w:rFonts w:eastAsia="Calibri" w:cs="Arial"/>
          <w:sz w:val="24"/>
          <w:szCs w:val="24"/>
        </w:rPr>
        <w:t>,</w:t>
      </w:r>
      <w:r w:rsidRPr="007032EC">
        <w:rPr>
          <w:rFonts w:eastAsia="Calibri" w:cs="Arial"/>
          <w:sz w:val="24"/>
          <w:szCs w:val="24"/>
        </w:rPr>
        <w:t xml:space="preserve">90% respectively as shown graphically </w:t>
      </w:r>
      <w:r w:rsidR="00CC65BF">
        <w:rPr>
          <w:rFonts w:eastAsia="Calibri" w:cs="Arial"/>
          <w:sz w:val="24"/>
          <w:szCs w:val="24"/>
        </w:rPr>
        <w:t>i</w:t>
      </w:r>
      <w:r w:rsidRPr="007032EC">
        <w:rPr>
          <w:rFonts w:eastAsia="Calibri" w:cs="Arial"/>
          <w:sz w:val="24"/>
          <w:szCs w:val="24"/>
        </w:rPr>
        <w:t>n figure22 below. An increase in the bread prices could have been attributed from the costs incurred by producers down the value chain; factors among others such as energy, transport costs, packaging and labour costs are the largest contributors in terms of costs within bread production and can contribute to the increase in bread process.</w:t>
      </w:r>
    </w:p>
    <w:p w:rsidR="007032EC" w:rsidRPr="00EA37A6" w:rsidRDefault="007032EC" w:rsidP="002D3BFD">
      <w:pPr>
        <w:spacing w:after="0" w:line="240" w:lineRule="auto"/>
        <w:jc w:val="both"/>
        <w:rPr>
          <w:rFonts w:eastAsia="Calibri" w:cs="Arial"/>
          <w:b/>
          <w:szCs w:val="18"/>
        </w:rPr>
      </w:pPr>
      <w:r w:rsidRPr="00EA37A6">
        <w:rPr>
          <w:rFonts w:eastAsia="Calibri" w:cs="Arial"/>
          <w:b/>
          <w:noProof/>
          <w:szCs w:val="18"/>
        </w:rPr>
        <w:drawing>
          <wp:inline distT="0" distB="0" distL="0" distR="0" wp14:anchorId="37493B38" wp14:editId="0F71AB17">
            <wp:extent cx="5114925" cy="27432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032EC" w:rsidRPr="00EA37A6" w:rsidRDefault="007032EC" w:rsidP="002D3BFD">
      <w:pPr>
        <w:pStyle w:val="Heading3"/>
        <w:spacing w:before="0" w:line="240" w:lineRule="auto"/>
        <w:rPr>
          <w:rFonts w:eastAsia="Calibri"/>
        </w:rPr>
      </w:pPr>
      <w:bookmarkStart w:id="167" w:name="_Toc489345775"/>
      <w:bookmarkStart w:id="168" w:name="_Toc489345980"/>
      <w:bookmarkStart w:id="169" w:name="_Toc489537728"/>
      <w:r w:rsidRPr="00EA37A6">
        <w:rPr>
          <w:rFonts w:eastAsia="Calibri"/>
          <w:b/>
        </w:rPr>
        <w:t>Figure</w:t>
      </w:r>
      <w:r w:rsidR="00C65E2F" w:rsidRPr="00EA37A6">
        <w:rPr>
          <w:rFonts w:eastAsia="Calibri"/>
          <w:b/>
        </w:rPr>
        <w:t xml:space="preserve"> </w:t>
      </w:r>
      <w:r w:rsidR="004D5766">
        <w:rPr>
          <w:rFonts w:eastAsia="Calibri"/>
          <w:b/>
        </w:rPr>
        <w:t>21</w:t>
      </w:r>
      <w:r w:rsidRPr="00EA37A6">
        <w:rPr>
          <w:rFonts w:eastAsia="Calibri"/>
          <w:b/>
        </w:rPr>
        <w:t>:</w:t>
      </w:r>
      <w:r w:rsidRPr="00EA37A6">
        <w:rPr>
          <w:rFonts w:eastAsia="Calibri"/>
        </w:rPr>
        <w:t xml:space="preserve"> Retail bread price vs wheat import price</w:t>
      </w:r>
      <w:bookmarkEnd w:id="167"/>
      <w:bookmarkEnd w:id="168"/>
      <w:bookmarkEnd w:id="169"/>
      <w:r w:rsidRPr="00EA37A6">
        <w:rPr>
          <w:rFonts w:eastAsia="Calibri"/>
        </w:rPr>
        <w:t xml:space="preserve"> </w:t>
      </w:r>
    </w:p>
    <w:p w:rsidR="007032EC" w:rsidRPr="004D5766" w:rsidRDefault="007032EC" w:rsidP="004D5766">
      <w:pPr>
        <w:rPr>
          <w:rFonts w:eastAsia="Calibri" w:cs="Arial"/>
          <w:szCs w:val="18"/>
        </w:rPr>
      </w:pPr>
      <w:bookmarkStart w:id="170" w:name="_Toc489345776"/>
      <w:bookmarkStart w:id="171" w:name="_Toc489345981"/>
      <w:r w:rsidRPr="004D5766">
        <w:rPr>
          <w:rFonts w:eastAsia="Calibri" w:cs="Arial"/>
          <w:szCs w:val="18"/>
        </w:rPr>
        <w:t xml:space="preserve">Source: Stats SA &amp; </w:t>
      </w:r>
      <w:proofErr w:type="spellStart"/>
      <w:r w:rsidRPr="004D5766">
        <w:rPr>
          <w:rFonts w:eastAsia="Calibri" w:cs="Arial"/>
          <w:szCs w:val="18"/>
        </w:rPr>
        <w:t>Safex</w:t>
      </w:r>
      <w:bookmarkEnd w:id="170"/>
      <w:bookmarkEnd w:id="171"/>
      <w:proofErr w:type="spellEnd"/>
    </w:p>
    <w:p w:rsidR="00203CD9" w:rsidRDefault="00203CD9" w:rsidP="007032EC">
      <w:pPr>
        <w:spacing w:after="0" w:line="360" w:lineRule="auto"/>
        <w:jc w:val="both"/>
        <w:rPr>
          <w:rFonts w:eastAsia="Calibri" w:cs="Arial"/>
          <w:sz w:val="24"/>
          <w:szCs w:val="24"/>
        </w:rPr>
      </w:pPr>
    </w:p>
    <w:p w:rsidR="007032EC" w:rsidRPr="007032EC" w:rsidRDefault="007032EC" w:rsidP="007032EC">
      <w:pPr>
        <w:spacing w:after="0" w:line="360" w:lineRule="auto"/>
        <w:jc w:val="both"/>
        <w:rPr>
          <w:rFonts w:eastAsia="Calibri" w:cs="Arial"/>
          <w:sz w:val="24"/>
          <w:szCs w:val="24"/>
        </w:rPr>
      </w:pPr>
      <w:r w:rsidRPr="007032EC">
        <w:rPr>
          <w:rFonts w:eastAsia="Calibri" w:cs="Arial"/>
          <w:sz w:val="24"/>
          <w:szCs w:val="24"/>
        </w:rPr>
        <w:t>Figure</w:t>
      </w:r>
      <w:r w:rsidR="00C075CC">
        <w:rPr>
          <w:rFonts w:eastAsia="Calibri" w:cs="Arial"/>
          <w:sz w:val="24"/>
          <w:szCs w:val="24"/>
        </w:rPr>
        <w:t xml:space="preserve"> </w:t>
      </w:r>
      <w:r w:rsidR="004D5766">
        <w:rPr>
          <w:rFonts w:eastAsia="Calibri" w:cs="Arial"/>
          <w:sz w:val="24"/>
          <w:szCs w:val="24"/>
        </w:rPr>
        <w:t>2</w:t>
      </w:r>
      <w:r w:rsidR="00276E67">
        <w:rPr>
          <w:rFonts w:eastAsia="Calibri" w:cs="Arial"/>
          <w:sz w:val="24"/>
          <w:szCs w:val="24"/>
        </w:rPr>
        <w:t>1</w:t>
      </w:r>
      <w:r w:rsidRPr="007032EC">
        <w:rPr>
          <w:rFonts w:eastAsia="Calibri" w:cs="Arial"/>
          <w:sz w:val="24"/>
          <w:szCs w:val="24"/>
        </w:rPr>
        <w:t xml:space="preserve"> presents retail bread price versus wheat import price. </w:t>
      </w:r>
      <w:r w:rsidR="00487275">
        <w:rPr>
          <w:rFonts w:eastAsia="Calibri" w:cs="Arial"/>
          <w:sz w:val="24"/>
          <w:szCs w:val="24"/>
        </w:rPr>
        <w:t xml:space="preserve">The figure </w:t>
      </w:r>
      <w:proofErr w:type="gramStart"/>
      <w:r w:rsidR="00487275">
        <w:rPr>
          <w:rFonts w:eastAsia="Calibri" w:cs="Arial"/>
          <w:sz w:val="24"/>
          <w:szCs w:val="24"/>
        </w:rPr>
        <w:t xml:space="preserve">shows </w:t>
      </w:r>
      <w:r w:rsidR="00487275" w:rsidRPr="007032EC">
        <w:rPr>
          <w:rFonts w:eastAsia="Calibri" w:cs="Arial"/>
          <w:sz w:val="24"/>
          <w:szCs w:val="24"/>
        </w:rPr>
        <w:t xml:space="preserve"> </w:t>
      </w:r>
      <w:r w:rsidR="00487275">
        <w:rPr>
          <w:rFonts w:eastAsia="Calibri" w:cs="Arial"/>
          <w:sz w:val="24"/>
          <w:szCs w:val="24"/>
        </w:rPr>
        <w:t>that</w:t>
      </w:r>
      <w:proofErr w:type="gramEnd"/>
      <w:r w:rsidRPr="007032EC">
        <w:rPr>
          <w:rFonts w:eastAsia="Calibri" w:cs="Arial"/>
          <w:sz w:val="24"/>
          <w:szCs w:val="24"/>
        </w:rPr>
        <w:t xml:space="preserve">, in both the first quarter of 2016 and the first quarter of 2017, the SA </w:t>
      </w:r>
      <w:proofErr w:type="spellStart"/>
      <w:r w:rsidRPr="007032EC">
        <w:rPr>
          <w:rFonts w:eastAsia="Calibri" w:cs="Arial"/>
          <w:sz w:val="24"/>
          <w:szCs w:val="24"/>
        </w:rPr>
        <w:t>safex</w:t>
      </w:r>
      <w:proofErr w:type="spellEnd"/>
      <w:r w:rsidRPr="007032EC">
        <w:rPr>
          <w:rFonts w:eastAsia="Calibri" w:cs="Arial"/>
          <w:sz w:val="24"/>
          <w:szCs w:val="24"/>
        </w:rPr>
        <w:t xml:space="preserve"> price has been trading below the import price (Randfontein), with the rand being volatile.  </w:t>
      </w:r>
    </w:p>
    <w:p w:rsidR="007032EC" w:rsidRPr="00776836" w:rsidRDefault="007032EC" w:rsidP="002D3BFD">
      <w:pPr>
        <w:spacing w:after="0" w:line="240" w:lineRule="auto"/>
        <w:jc w:val="both"/>
        <w:rPr>
          <w:rFonts w:eastAsia="Calibri" w:cs="Arial"/>
          <w:b/>
          <w:szCs w:val="18"/>
        </w:rPr>
      </w:pPr>
      <w:r w:rsidRPr="00776836">
        <w:rPr>
          <w:rFonts w:eastAsia="Calibri" w:cs="Arial"/>
          <w:b/>
          <w:noProof/>
          <w:szCs w:val="18"/>
        </w:rPr>
        <w:drawing>
          <wp:inline distT="0" distB="0" distL="0" distR="0" wp14:anchorId="16BD395F" wp14:editId="744EA4D6">
            <wp:extent cx="4829175" cy="2743200"/>
            <wp:effectExtent l="0" t="0" r="9525" b="19050"/>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032EC" w:rsidRPr="00776836" w:rsidRDefault="007032EC" w:rsidP="002D3BFD">
      <w:pPr>
        <w:pStyle w:val="Heading3"/>
        <w:spacing w:before="0" w:line="240" w:lineRule="auto"/>
        <w:rPr>
          <w:rFonts w:eastAsia="Calibri"/>
        </w:rPr>
      </w:pPr>
      <w:bookmarkStart w:id="172" w:name="_Toc489345777"/>
      <w:bookmarkStart w:id="173" w:name="_Toc489345982"/>
      <w:bookmarkStart w:id="174" w:name="_Toc489537729"/>
      <w:r w:rsidRPr="00776836">
        <w:rPr>
          <w:rFonts w:eastAsia="Calibri"/>
          <w:b/>
        </w:rPr>
        <w:t>Figure</w:t>
      </w:r>
      <w:r w:rsidR="00C65E2F" w:rsidRPr="00776836">
        <w:rPr>
          <w:rFonts w:eastAsia="Calibri"/>
          <w:b/>
        </w:rPr>
        <w:t xml:space="preserve"> </w:t>
      </w:r>
      <w:r w:rsidR="004D5766">
        <w:rPr>
          <w:rFonts w:eastAsia="Calibri"/>
          <w:b/>
        </w:rPr>
        <w:t>2</w:t>
      </w:r>
      <w:r w:rsidR="00276E67">
        <w:rPr>
          <w:rFonts w:eastAsia="Calibri"/>
          <w:b/>
        </w:rPr>
        <w:t>2</w:t>
      </w:r>
      <w:r w:rsidRPr="00776836">
        <w:rPr>
          <w:rFonts w:eastAsia="Calibri"/>
          <w:b/>
        </w:rPr>
        <w:t>:</w:t>
      </w:r>
      <w:r w:rsidRPr="00776836">
        <w:rPr>
          <w:rFonts w:eastAsia="Calibri"/>
        </w:rPr>
        <w:t xml:space="preserve"> Wheat deliveries, Imports, Exports and local demand</w:t>
      </w:r>
      <w:bookmarkEnd w:id="172"/>
      <w:bookmarkEnd w:id="173"/>
      <w:bookmarkEnd w:id="174"/>
    </w:p>
    <w:p w:rsidR="007032EC" w:rsidRPr="004D5766" w:rsidRDefault="007032EC" w:rsidP="004D5766">
      <w:pPr>
        <w:rPr>
          <w:rFonts w:eastAsia="Calibri" w:cs="Arial"/>
          <w:szCs w:val="18"/>
        </w:rPr>
      </w:pPr>
      <w:bookmarkStart w:id="175" w:name="_Toc489345778"/>
      <w:bookmarkStart w:id="176" w:name="_Toc489345983"/>
      <w:r w:rsidRPr="004D5766">
        <w:rPr>
          <w:rFonts w:eastAsia="Calibri" w:cs="Arial"/>
          <w:szCs w:val="18"/>
        </w:rPr>
        <w:t xml:space="preserve">Source: Stats SA &amp; </w:t>
      </w:r>
      <w:proofErr w:type="spellStart"/>
      <w:r w:rsidRPr="004D5766">
        <w:rPr>
          <w:rFonts w:eastAsia="Calibri" w:cs="Arial"/>
          <w:szCs w:val="18"/>
        </w:rPr>
        <w:t>Safex</w:t>
      </w:r>
      <w:bookmarkEnd w:id="175"/>
      <w:bookmarkEnd w:id="176"/>
      <w:proofErr w:type="spellEnd"/>
    </w:p>
    <w:p w:rsidR="00203CD9" w:rsidRDefault="004B35C4" w:rsidP="007032EC">
      <w:pPr>
        <w:spacing w:after="0" w:line="360" w:lineRule="auto"/>
        <w:jc w:val="both"/>
        <w:rPr>
          <w:rFonts w:eastAsia="Calibri" w:cs="Arial"/>
          <w:sz w:val="24"/>
          <w:szCs w:val="24"/>
        </w:rPr>
      </w:pPr>
      <w:r>
        <w:rPr>
          <w:rFonts w:eastAsia="Calibri" w:cs="Arial"/>
          <w:sz w:val="24"/>
          <w:szCs w:val="24"/>
        </w:rPr>
        <w:t xml:space="preserve">  </w:t>
      </w:r>
    </w:p>
    <w:p w:rsidR="007032EC" w:rsidRPr="00851977" w:rsidRDefault="007032EC" w:rsidP="008A4463">
      <w:pPr>
        <w:spacing w:after="0" w:line="360" w:lineRule="auto"/>
        <w:jc w:val="both"/>
        <w:rPr>
          <w:rFonts w:eastAsia="Calibri" w:cs="Arial"/>
          <w:sz w:val="24"/>
          <w:szCs w:val="24"/>
        </w:rPr>
      </w:pPr>
      <w:r w:rsidRPr="00851977">
        <w:rPr>
          <w:rFonts w:eastAsia="Calibri" w:cs="Arial"/>
          <w:sz w:val="24"/>
          <w:szCs w:val="24"/>
        </w:rPr>
        <w:t>According to USDA (2017), imports in South Africa for the 2017/18 marketing year will be almost 40% higher than in the 2016/17 marketing year at 1</w:t>
      </w:r>
      <w:proofErr w:type="gramStart"/>
      <w:r w:rsidR="00CC65BF">
        <w:rPr>
          <w:rFonts w:eastAsia="Calibri" w:cs="Arial"/>
          <w:sz w:val="24"/>
          <w:szCs w:val="24"/>
        </w:rPr>
        <w:t>,</w:t>
      </w:r>
      <w:r w:rsidRPr="00851977">
        <w:rPr>
          <w:rFonts w:eastAsia="Calibri" w:cs="Arial"/>
          <w:sz w:val="24"/>
          <w:szCs w:val="24"/>
        </w:rPr>
        <w:t>8</w:t>
      </w:r>
      <w:proofErr w:type="gramEnd"/>
      <w:r w:rsidRPr="00851977">
        <w:rPr>
          <w:rFonts w:eastAsia="Calibri" w:cs="Arial"/>
          <w:sz w:val="24"/>
          <w:szCs w:val="24"/>
        </w:rPr>
        <w:t xml:space="preserve"> million tons; due to an expected decrease in local production as currently corn planted area increased drastically responding to more favourable climatic conditions. The CEC estimates that South Africa produced 1</w:t>
      </w:r>
      <w:proofErr w:type="gramStart"/>
      <w:r w:rsidR="00CC65BF">
        <w:rPr>
          <w:rFonts w:eastAsia="Calibri" w:cs="Arial"/>
          <w:sz w:val="24"/>
          <w:szCs w:val="24"/>
        </w:rPr>
        <w:t>,</w:t>
      </w:r>
      <w:r w:rsidRPr="00851977">
        <w:rPr>
          <w:rFonts w:eastAsia="Calibri" w:cs="Arial"/>
          <w:sz w:val="24"/>
          <w:szCs w:val="24"/>
        </w:rPr>
        <w:t>9</w:t>
      </w:r>
      <w:proofErr w:type="gramEnd"/>
      <w:r w:rsidRPr="00851977">
        <w:rPr>
          <w:rFonts w:eastAsia="Calibri" w:cs="Arial"/>
          <w:sz w:val="24"/>
          <w:szCs w:val="24"/>
        </w:rPr>
        <w:t xml:space="preserve"> million tons of wheat on 508,365 hectares, which represents an increase of 33 percent from the previous year on increased area planted and better climatic conditions, especially in the Western Cape province. As illustrated in figure 23 above, the producer deliveries of wheat in the first quarter of 2017 went down by 86</w:t>
      </w:r>
      <w:proofErr w:type="gramStart"/>
      <w:r w:rsidR="00CC65BF">
        <w:rPr>
          <w:rFonts w:eastAsia="Calibri" w:cs="Arial"/>
          <w:sz w:val="24"/>
          <w:szCs w:val="24"/>
        </w:rPr>
        <w:t>,</w:t>
      </w:r>
      <w:r w:rsidRPr="00851977">
        <w:rPr>
          <w:rFonts w:eastAsia="Calibri" w:cs="Arial"/>
          <w:sz w:val="24"/>
          <w:szCs w:val="24"/>
        </w:rPr>
        <w:t>2</w:t>
      </w:r>
      <w:proofErr w:type="gramEnd"/>
      <w:r w:rsidRPr="00851977">
        <w:rPr>
          <w:rFonts w:eastAsia="Calibri" w:cs="Arial"/>
          <w:sz w:val="24"/>
          <w:szCs w:val="24"/>
        </w:rPr>
        <w:t>% compared to the same quarter in 2016. On the other hand SA wheat imports increased by 228 752 tons in the first quarter of 2017, while local demand fell by 8</w:t>
      </w:r>
      <w:r w:rsidR="00CC65BF">
        <w:rPr>
          <w:rFonts w:eastAsia="Calibri" w:cs="Arial"/>
          <w:sz w:val="24"/>
          <w:szCs w:val="24"/>
        </w:rPr>
        <w:t>,</w:t>
      </w:r>
      <w:r w:rsidRPr="00851977">
        <w:rPr>
          <w:rFonts w:eastAsia="Calibri" w:cs="Arial"/>
          <w:sz w:val="24"/>
          <w:szCs w:val="24"/>
        </w:rPr>
        <w:t>3% and exports increased by 21 202 tons  compared to the first quarter of 2016</w:t>
      </w:r>
      <w:r w:rsidR="00487275">
        <w:rPr>
          <w:rFonts w:eastAsia="Calibri" w:cs="Arial"/>
          <w:sz w:val="24"/>
          <w:szCs w:val="24"/>
        </w:rPr>
        <w:t>, see Figure 22</w:t>
      </w:r>
      <w:r w:rsidRPr="00851977">
        <w:rPr>
          <w:rFonts w:eastAsia="Calibri" w:cs="Arial"/>
          <w:sz w:val="24"/>
          <w:szCs w:val="24"/>
        </w:rPr>
        <w:t>.</w:t>
      </w:r>
    </w:p>
    <w:p w:rsidR="007032EC" w:rsidRPr="00851977" w:rsidRDefault="007032EC" w:rsidP="002B2894">
      <w:pPr>
        <w:spacing w:after="0" w:line="360" w:lineRule="auto"/>
        <w:jc w:val="both"/>
        <w:rPr>
          <w:rFonts w:eastAsia="Calibri" w:cs="Arial"/>
          <w:b/>
          <w:sz w:val="24"/>
          <w:szCs w:val="24"/>
        </w:rPr>
      </w:pPr>
      <w:r w:rsidRPr="00851977">
        <w:rPr>
          <w:rFonts w:eastAsia="Calibri" w:cs="Arial"/>
          <w:b/>
          <w:sz w:val="24"/>
          <w:szCs w:val="24"/>
        </w:rPr>
        <w:t xml:space="preserve"> </w:t>
      </w:r>
    </w:p>
    <w:p w:rsidR="002B2894" w:rsidRPr="00851977" w:rsidRDefault="002B2894" w:rsidP="008A4463">
      <w:pPr>
        <w:pStyle w:val="Heading2"/>
        <w:spacing w:line="360" w:lineRule="auto"/>
        <w:rPr>
          <w:rFonts w:eastAsia="Times New Roman"/>
          <w:lang w:val="en-GB"/>
        </w:rPr>
      </w:pPr>
      <w:bookmarkStart w:id="177" w:name="_Toc489345779"/>
      <w:bookmarkStart w:id="178" w:name="_Toc489345984"/>
      <w:bookmarkStart w:id="179" w:name="_Toc489537730"/>
      <w:r w:rsidRPr="00851977">
        <w:rPr>
          <w:rFonts w:eastAsia="Times New Roman"/>
          <w:lang w:val="en-GB"/>
        </w:rPr>
        <w:t xml:space="preserve">3.1.3 </w:t>
      </w:r>
      <w:r w:rsidRPr="00851977">
        <w:rPr>
          <w:rFonts w:eastAsia="Calibri"/>
        </w:rPr>
        <w:t>Soybeans</w:t>
      </w:r>
      <w:bookmarkEnd w:id="177"/>
      <w:bookmarkEnd w:id="178"/>
      <w:bookmarkEnd w:id="179"/>
      <w:r w:rsidRPr="00851977">
        <w:rPr>
          <w:rFonts w:eastAsia="Times New Roman"/>
          <w:lang w:val="en-GB"/>
        </w:rPr>
        <w:t xml:space="preserve"> </w:t>
      </w:r>
    </w:p>
    <w:p w:rsidR="00851977" w:rsidRPr="00851977" w:rsidRDefault="00851977" w:rsidP="008A4463">
      <w:pPr>
        <w:spacing w:after="0" w:line="360" w:lineRule="auto"/>
        <w:jc w:val="both"/>
        <w:rPr>
          <w:rFonts w:eastAsia="Times New Roman" w:cs="Arial"/>
          <w:color w:val="000000"/>
          <w:sz w:val="24"/>
          <w:szCs w:val="24"/>
        </w:rPr>
      </w:pPr>
      <w:r w:rsidRPr="00851977">
        <w:rPr>
          <w:rFonts w:eastAsia="Times New Roman" w:cs="Arial"/>
          <w:color w:val="000000"/>
          <w:sz w:val="24"/>
          <w:szCs w:val="24"/>
        </w:rPr>
        <w:t>The price of soybean has increased by 7% in the 1</w:t>
      </w:r>
      <w:r w:rsidRPr="00851977">
        <w:rPr>
          <w:rFonts w:eastAsia="Times New Roman" w:cs="Arial"/>
          <w:color w:val="000000"/>
          <w:sz w:val="24"/>
          <w:szCs w:val="24"/>
          <w:vertAlign w:val="superscript"/>
        </w:rPr>
        <w:t>st</w:t>
      </w:r>
      <w:r w:rsidRPr="00851977">
        <w:rPr>
          <w:rFonts w:eastAsia="Times New Roman" w:cs="Arial"/>
          <w:color w:val="000000"/>
          <w:sz w:val="24"/>
          <w:szCs w:val="24"/>
        </w:rPr>
        <w:t xml:space="preserve"> quarter of 2017 compared to the previous quarter and it </w:t>
      </w:r>
      <w:r w:rsidR="00CC65BF">
        <w:rPr>
          <w:rFonts w:eastAsia="Times New Roman" w:cs="Arial"/>
          <w:color w:val="000000"/>
          <w:sz w:val="24"/>
          <w:szCs w:val="24"/>
        </w:rPr>
        <w:t xml:space="preserve">is </w:t>
      </w:r>
      <w:r w:rsidRPr="00851977">
        <w:rPr>
          <w:rFonts w:eastAsia="Times New Roman" w:cs="Arial"/>
          <w:color w:val="000000"/>
          <w:sz w:val="24"/>
          <w:szCs w:val="24"/>
        </w:rPr>
        <w:t>8</w:t>
      </w:r>
      <w:proofErr w:type="gramStart"/>
      <w:r w:rsidR="00CC65BF">
        <w:rPr>
          <w:rFonts w:eastAsia="Times New Roman" w:cs="Arial"/>
          <w:color w:val="000000"/>
          <w:sz w:val="24"/>
          <w:szCs w:val="24"/>
        </w:rPr>
        <w:t>,</w:t>
      </w:r>
      <w:r w:rsidRPr="00851977">
        <w:rPr>
          <w:rFonts w:eastAsia="Times New Roman" w:cs="Arial"/>
          <w:color w:val="000000"/>
          <w:sz w:val="24"/>
          <w:szCs w:val="24"/>
        </w:rPr>
        <w:t>6</w:t>
      </w:r>
      <w:proofErr w:type="gramEnd"/>
      <w:r w:rsidRPr="00851977">
        <w:rPr>
          <w:rFonts w:eastAsia="Times New Roman" w:cs="Arial"/>
          <w:color w:val="000000"/>
          <w:sz w:val="24"/>
          <w:szCs w:val="24"/>
        </w:rPr>
        <w:t>% lower on a year-on-year basis.  The price of soybeans started coming down in June 2016 as global soybeans production for 2016 was projected to reach a peak. South African prices track international prices as the country is not self-sufficient in production of the crop even though the country was experiencing a drought the ample global stocks kept local prices lower</w:t>
      </w:r>
      <w:r w:rsidR="00487275">
        <w:rPr>
          <w:rFonts w:eastAsia="Times New Roman" w:cs="Arial"/>
          <w:color w:val="000000"/>
          <w:sz w:val="24"/>
          <w:szCs w:val="24"/>
        </w:rPr>
        <w:t>, see Figure 23</w:t>
      </w:r>
      <w:r w:rsidRPr="00851977">
        <w:rPr>
          <w:rFonts w:eastAsia="Times New Roman" w:cs="Arial"/>
          <w:color w:val="000000"/>
          <w:sz w:val="24"/>
          <w:szCs w:val="24"/>
        </w:rPr>
        <w:t xml:space="preserve">. </w:t>
      </w:r>
    </w:p>
    <w:p w:rsidR="00851977" w:rsidRPr="00851977" w:rsidRDefault="00851977" w:rsidP="00C075CC">
      <w:pPr>
        <w:spacing w:after="0" w:line="360" w:lineRule="auto"/>
        <w:jc w:val="both"/>
        <w:rPr>
          <w:rFonts w:eastAsia="Times New Roman" w:cs="Arial"/>
          <w:color w:val="000000"/>
          <w:sz w:val="24"/>
          <w:szCs w:val="24"/>
        </w:rPr>
      </w:pPr>
      <w:r w:rsidRPr="00851977">
        <w:rPr>
          <w:rFonts w:eastAsia="Times New Roman" w:cs="Arial"/>
          <w:color w:val="000000"/>
          <w:sz w:val="24"/>
          <w:szCs w:val="24"/>
        </w:rPr>
        <w:t>Local prices trade close</w:t>
      </w:r>
      <w:r w:rsidR="00295DBE">
        <w:rPr>
          <w:rFonts w:eastAsia="Times New Roman" w:cs="Arial"/>
          <w:color w:val="000000"/>
          <w:sz w:val="24"/>
          <w:szCs w:val="24"/>
        </w:rPr>
        <w:t>ly</w:t>
      </w:r>
      <w:r w:rsidRPr="00851977">
        <w:rPr>
          <w:rFonts w:eastAsia="Times New Roman" w:cs="Arial"/>
          <w:color w:val="000000"/>
          <w:sz w:val="24"/>
          <w:szCs w:val="24"/>
        </w:rPr>
        <w:t xml:space="preserve"> at</w:t>
      </w:r>
      <w:r w:rsidR="00295DBE">
        <w:rPr>
          <w:rFonts w:eastAsia="Times New Roman" w:cs="Arial"/>
          <w:color w:val="000000"/>
          <w:sz w:val="24"/>
          <w:szCs w:val="24"/>
        </w:rPr>
        <w:t>,</w:t>
      </w:r>
      <w:r w:rsidRPr="00851977">
        <w:rPr>
          <w:rFonts w:eastAsia="Times New Roman" w:cs="Arial"/>
          <w:color w:val="000000"/>
          <w:sz w:val="24"/>
          <w:szCs w:val="24"/>
        </w:rPr>
        <w:t xml:space="preserve"> or below the import price during the quarter and continue to trade at those levels. Various fundamentals continue to move the local price</w:t>
      </w:r>
      <w:r w:rsidR="00295DBE">
        <w:rPr>
          <w:rFonts w:eastAsia="Times New Roman" w:cs="Arial"/>
          <w:color w:val="000000"/>
          <w:sz w:val="24"/>
          <w:szCs w:val="24"/>
        </w:rPr>
        <w:t>,</w:t>
      </w:r>
      <w:r w:rsidRPr="00851977">
        <w:rPr>
          <w:rFonts w:eastAsia="Times New Roman" w:cs="Arial"/>
          <w:color w:val="000000"/>
          <w:sz w:val="24"/>
          <w:szCs w:val="24"/>
        </w:rPr>
        <w:t xml:space="preserve"> for example</w:t>
      </w:r>
      <w:r w:rsidR="00295DBE">
        <w:rPr>
          <w:rFonts w:eastAsia="Times New Roman" w:cs="Arial"/>
          <w:color w:val="000000"/>
          <w:sz w:val="24"/>
          <w:szCs w:val="24"/>
        </w:rPr>
        <w:t>,</w:t>
      </w:r>
      <w:r w:rsidRPr="00851977">
        <w:rPr>
          <w:rFonts w:eastAsia="Times New Roman" w:cs="Arial"/>
          <w:color w:val="000000"/>
          <w:sz w:val="24"/>
          <w:szCs w:val="24"/>
        </w:rPr>
        <w:t xml:space="preserve"> the rebound 80% in production in the 2017 season as shown on table 1.  </w:t>
      </w:r>
      <w:proofErr w:type="gramStart"/>
      <w:r w:rsidRPr="00851977">
        <w:rPr>
          <w:rFonts w:eastAsia="Times New Roman" w:cs="Arial"/>
          <w:color w:val="000000"/>
          <w:sz w:val="24"/>
          <w:szCs w:val="24"/>
        </w:rPr>
        <w:t>The stronger rand, lower international prices; Massive liquidation selling in the March contract, since the beginning of February due to lower international prices.</w:t>
      </w:r>
      <w:proofErr w:type="gramEnd"/>
    </w:p>
    <w:p w:rsidR="00851977" w:rsidRPr="00203CD9" w:rsidRDefault="00851977" w:rsidP="00C075CC">
      <w:pPr>
        <w:spacing w:after="0" w:line="240" w:lineRule="auto"/>
        <w:jc w:val="both"/>
        <w:rPr>
          <w:rFonts w:eastAsia="Times New Roman" w:cs="Arial"/>
          <w:b/>
          <w:color w:val="000000"/>
          <w:szCs w:val="18"/>
        </w:rPr>
      </w:pPr>
      <w:r w:rsidRPr="00203CD9">
        <w:rPr>
          <w:rFonts w:eastAsia="Times New Roman" w:cs="Arial"/>
          <w:b/>
          <w:noProof/>
          <w:color w:val="000000"/>
          <w:szCs w:val="18"/>
        </w:rPr>
        <w:drawing>
          <wp:inline distT="0" distB="0" distL="0" distR="0" wp14:anchorId="08168FD8" wp14:editId="64990CBC">
            <wp:extent cx="5783283" cy="2743200"/>
            <wp:effectExtent l="0" t="0" r="27305" b="19050"/>
            <wp:docPr id="175" name="Chart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03CD9" w:rsidRPr="00203CD9" w:rsidRDefault="00276E67" w:rsidP="00C075CC">
      <w:pPr>
        <w:pStyle w:val="Heading3"/>
        <w:spacing w:before="0" w:line="240" w:lineRule="auto"/>
        <w:rPr>
          <w:rFonts w:eastAsia="Times New Roman"/>
        </w:rPr>
      </w:pPr>
      <w:bookmarkStart w:id="180" w:name="_Toc489345780"/>
      <w:bookmarkStart w:id="181" w:name="_Toc489345985"/>
      <w:bookmarkStart w:id="182" w:name="_Toc489537731"/>
      <w:r>
        <w:rPr>
          <w:rFonts w:eastAsia="Times New Roman"/>
          <w:b/>
        </w:rPr>
        <w:t>Figure 23</w:t>
      </w:r>
      <w:r w:rsidR="00851977" w:rsidRPr="00203CD9">
        <w:rPr>
          <w:rFonts w:eastAsia="Times New Roman"/>
          <w:b/>
        </w:rPr>
        <w:t xml:space="preserve">: </w:t>
      </w:r>
      <w:r w:rsidR="00851977" w:rsidRPr="00203CD9">
        <w:rPr>
          <w:rFonts w:eastAsia="Times New Roman"/>
        </w:rPr>
        <w:t>Soybeans local price vs Import Price</w:t>
      </w:r>
      <w:bookmarkEnd w:id="180"/>
      <w:bookmarkEnd w:id="181"/>
      <w:bookmarkEnd w:id="182"/>
    </w:p>
    <w:p w:rsidR="00851977" w:rsidRPr="00203CD9" w:rsidRDefault="00851977" w:rsidP="00C075CC">
      <w:pPr>
        <w:spacing w:after="0" w:line="240" w:lineRule="auto"/>
        <w:jc w:val="both"/>
        <w:rPr>
          <w:rFonts w:eastAsia="Times New Roman" w:cs="Arial"/>
          <w:color w:val="000000"/>
          <w:szCs w:val="18"/>
        </w:rPr>
      </w:pPr>
      <w:r w:rsidRPr="00203CD9">
        <w:rPr>
          <w:rFonts w:eastAsia="Times New Roman" w:cs="Arial"/>
          <w:color w:val="000000"/>
          <w:szCs w:val="18"/>
        </w:rPr>
        <w:t xml:space="preserve">Source: </w:t>
      </w:r>
      <w:proofErr w:type="spellStart"/>
      <w:r w:rsidRPr="00203CD9">
        <w:rPr>
          <w:rFonts w:eastAsia="Times New Roman" w:cs="Arial"/>
          <w:color w:val="000000"/>
          <w:szCs w:val="18"/>
        </w:rPr>
        <w:t>Safex</w:t>
      </w:r>
      <w:proofErr w:type="spellEnd"/>
      <w:r w:rsidRPr="00203CD9">
        <w:rPr>
          <w:rFonts w:eastAsia="Times New Roman" w:cs="Arial"/>
          <w:color w:val="000000"/>
          <w:szCs w:val="18"/>
        </w:rPr>
        <w:t>/</w:t>
      </w:r>
      <w:proofErr w:type="spellStart"/>
      <w:r w:rsidRPr="00203CD9">
        <w:rPr>
          <w:rFonts w:eastAsia="Times New Roman" w:cs="Arial"/>
          <w:color w:val="000000"/>
          <w:szCs w:val="18"/>
        </w:rPr>
        <w:t>Sagis</w:t>
      </w:r>
      <w:proofErr w:type="spellEnd"/>
      <w:r w:rsidRPr="00203CD9">
        <w:rPr>
          <w:rFonts w:eastAsia="Times New Roman" w:cs="Arial"/>
          <w:color w:val="000000"/>
          <w:szCs w:val="18"/>
        </w:rPr>
        <w:t>/USDA/World Bank</w:t>
      </w:r>
    </w:p>
    <w:p w:rsidR="00851977" w:rsidRPr="00851977" w:rsidRDefault="00851977" w:rsidP="00C075CC">
      <w:pPr>
        <w:spacing w:after="0" w:line="360" w:lineRule="auto"/>
        <w:jc w:val="both"/>
        <w:rPr>
          <w:rFonts w:eastAsia="Times New Roman" w:cs="Arial"/>
          <w:b/>
          <w:color w:val="000000"/>
          <w:sz w:val="24"/>
          <w:szCs w:val="24"/>
        </w:rPr>
      </w:pPr>
    </w:p>
    <w:p w:rsidR="00851977" w:rsidRPr="00851977" w:rsidRDefault="00851977" w:rsidP="00C075CC">
      <w:pPr>
        <w:spacing w:after="0" w:line="360" w:lineRule="auto"/>
        <w:jc w:val="both"/>
        <w:rPr>
          <w:rFonts w:eastAsia="Times New Roman" w:cs="Arial"/>
          <w:color w:val="000000"/>
          <w:sz w:val="24"/>
          <w:szCs w:val="24"/>
        </w:rPr>
      </w:pPr>
      <w:r w:rsidRPr="00851977">
        <w:rPr>
          <w:rFonts w:eastAsia="Times New Roman" w:cs="Arial"/>
          <w:color w:val="000000"/>
          <w:sz w:val="24"/>
          <w:szCs w:val="24"/>
        </w:rPr>
        <w:t>The 2017 projection as shown on table 1</w:t>
      </w:r>
      <w:proofErr w:type="gramStart"/>
      <w:r w:rsidRPr="00851977">
        <w:rPr>
          <w:rFonts w:eastAsia="Times New Roman" w:cs="Arial"/>
          <w:color w:val="000000"/>
          <w:sz w:val="24"/>
          <w:szCs w:val="24"/>
        </w:rPr>
        <w:t>;  indicates</w:t>
      </w:r>
      <w:proofErr w:type="gramEnd"/>
      <w:r w:rsidRPr="00851977">
        <w:rPr>
          <w:rFonts w:eastAsia="Times New Roman" w:cs="Arial"/>
          <w:color w:val="000000"/>
          <w:sz w:val="24"/>
          <w:szCs w:val="24"/>
        </w:rPr>
        <w:t xml:space="preserve"> that imports will decline sharply due to the expected 805 rise in production; local consumption is expected to peak by 22% due to favourable prices, exports are expected to peak sharply compared to the previous year declines.</w:t>
      </w:r>
    </w:p>
    <w:p w:rsidR="00851977" w:rsidRPr="00203CD9" w:rsidRDefault="00851977" w:rsidP="00F403F4">
      <w:pPr>
        <w:spacing w:after="0" w:line="240" w:lineRule="auto"/>
        <w:jc w:val="both"/>
        <w:rPr>
          <w:rFonts w:eastAsia="Times New Roman" w:cs="Arial"/>
          <w:color w:val="000000"/>
          <w:szCs w:val="18"/>
        </w:rPr>
      </w:pPr>
      <w:r w:rsidRPr="00851977">
        <w:rPr>
          <w:rFonts w:eastAsia="Times New Roman" w:cs="Arial"/>
          <w:b/>
          <w:noProof/>
          <w:color w:val="000000"/>
          <w:sz w:val="24"/>
          <w:szCs w:val="24"/>
        </w:rPr>
        <w:drawing>
          <wp:inline distT="0" distB="0" distL="0" distR="0" wp14:anchorId="5E8A7C22" wp14:editId="01C91D84">
            <wp:extent cx="5783282" cy="1900052"/>
            <wp:effectExtent l="0" t="0" r="8255" b="508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05507" cy="1907354"/>
                    </a:xfrm>
                    <a:prstGeom prst="rect">
                      <a:avLst/>
                    </a:prstGeom>
                    <a:noFill/>
                    <a:ln>
                      <a:noFill/>
                    </a:ln>
                  </pic:spPr>
                </pic:pic>
              </a:graphicData>
            </a:graphic>
          </wp:inline>
        </w:drawing>
      </w:r>
      <w:r w:rsidRPr="00C075CC">
        <w:rPr>
          <w:rStyle w:val="Heading3Char"/>
          <w:b/>
        </w:rPr>
        <w:t>Table 1:</w:t>
      </w:r>
      <w:r w:rsidRPr="00C075CC">
        <w:rPr>
          <w:rStyle w:val="Heading3Char"/>
        </w:rPr>
        <w:t xml:space="preserve"> Soybean projections for 2016</w:t>
      </w:r>
    </w:p>
    <w:p w:rsidR="00851977" w:rsidRPr="00203CD9" w:rsidRDefault="00851977" w:rsidP="00F403F4">
      <w:pPr>
        <w:spacing w:after="0" w:line="240" w:lineRule="auto"/>
        <w:jc w:val="both"/>
        <w:rPr>
          <w:rFonts w:eastAsia="Times New Roman" w:cs="Arial"/>
          <w:color w:val="000000"/>
          <w:szCs w:val="18"/>
        </w:rPr>
      </w:pPr>
      <w:r w:rsidRPr="00203CD9">
        <w:rPr>
          <w:rFonts w:eastAsia="Times New Roman" w:cs="Arial"/>
          <w:color w:val="000000"/>
          <w:szCs w:val="18"/>
        </w:rPr>
        <w:t>Source: DAFF/ NAMC/</w:t>
      </w:r>
      <w:proofErr w:type="spellStart"/>
      <w:r w:rsidRPr="00203CD9">
        <w:rPr>
          <w:rFonts w:eastAsia="Times New Roman" w:cs="Arial"/>
          <w:color w:val="000000"/>
          <w:szCs w:val="18"/>
        </w:rPr>
        <w:t>Sagis</w:t>
      </w:r>
      <w:proofErr w:type="spellEnd"/>
    </w:p>
    <w:p w:rsidR="00851977" w:rsidRPr="00851977" w:rsidRDefault="00851977" w:rsidP="00851977">
      <w:pPr>
        <w:spacing w:after="0" w:line="480" w:lineRule="auto"/>
        <w:jc w:val="both"/>
        <w:rPr>
          <w:rFonts w:eastAsia="Times New Roman" w:cs="Arial"/>
          <w:b/>
          <w:color w:val="000000"/>
          <w:sz w:val="24"/>
          <w:szCs w:val="24"/>
        </w:rPr>
      </w:pPr>
    </w:p>
    <w:p w:rsidR="00851977" w:rsidRDefault="00851977" w:rsidP="002B2894">
      <w:pPr>
        <w:spacing w:after="0" w:line="480" w:lineRule="auto"/>
        <w:jc w:val="both"/>
        <w:rPr>
          <w:rFonts w:eastAsia="Times New Roman" w:cs="Arial"/>
          <w:b/>
          <w:color w:val="000000"/>
          <w:sz w:val="24"/>
          <w:szCs w:val="24"/>
          <w:lang w:val="en-GB"/>
        </w:rPr>
      </w:pPr>
    </w:p>
    <w:p w:rsidR="00C075CC" w:rsidRDefault="00C075CC" w:rsidP="002B2894">
      <w:pPr>
        <w:spacing w:after="0" w:line="480" w:lineRule="auto"/>
        <w:jc w:val="both"/>
        <w:rPr>
          <w:rFonts w:eastAsia="Times New Roman" w:cs="Arial"/>
          <w:b/>
          <w:color w:val="000000"/>
          <w:sz w:val="24"/>
          <w:szCs w:val="24"/>
          <w:lang w:val="en-GB"/>
        </w:rPr>
      </w:pPr>
    </w:p>
    <w:p w:rsidR="00C075CC" w:rsidRDefault="00C075CC" w:rsidP="002B2894">
      <w:pPr>
        <w:spacing w:after="0" w:line="480" w:lineRule="auto"/>
        <w:jc w:val="both"/>
        <w:rPr>
          <w:rFonts w:eastAsia="Times New Roman" w:cs="Arial"/>
          <w:b/>
          <w:color w:val="000000"/>
          <w:sz w:val="24"/>
          <w:szCs w:val="24"/>
          <w:lang w:val="en-GB"/>
        </w:rPr>
      </w:pPr>
    </w:p>
    <w:p w:rsidR="00203CD9" w:rsidRDefault="00203CD9" w:rsidP="002B2894">
      <w:pPr>
        <w:spacing w:after="0" w:line="480" w:lineRule="auto"/>
        <w:jc w:val="both"/>
        <w:rPr>
          <w:rFonts w:eastAsia="Times New Roman" w:cs="Arial"/>
          <w:b/>
          <w:color w:val="000000"/>
          <w:sz w:val="24"/>
          <w:szCs w:val="24"/>
          <w:lang w:val="en-GB"/>
        </w:rPr>
      </w:pPr>
    </w:p>
    <w:p w:rsidR="00203CD9" w:rsidRPr="009F08C4" w:rsidRDefault="00203CD9" w:rsidP="002B2894">
      <w:pPr>
        <w:spacing w:after="0" w:line="480" w:lineRule="auto"/>
        <w:jc w:val="both"/>
        <w:rPr>
          <w:rFonts w:eastAsia="Times New Roman" w:cs="Arial"/>
          <w:b/>
          <w:color w:val="000000"/>
          <w:sz w:val="24"/>
          <w:szCs w:val="24"/>
          <w:lang w:val="en-GB"/>
        </w:rPr>
      </w:pPr>
    </w:p>
    <w:p w:rsidR="002B2894" w:rsidRDefault="002B2894" w:rsidP="008A4463">
      <w:pPr>
        <w:pStyle w:val="Heading2"/>
        <w:spacing w:line="360" w:lineRule="auto"/>
        <w:rPr>
          <w:rFonts w:eastAsia="Times New Roman"/>
        </w:rPr>
      </w:pPr>
      <w:bookmarkStart w:id="183" w:name="_Toc489345781"/>
      <w:bookmarkStart w:id="184" w:name="_Toc489345986"/>
      <w:bookmarkStart w:id="185" w:name="_Toc489537732"/>
      <w:r w:rsidRPr="009F08C4">
        <w:rPr>
          <w:rFonts w:eastAsia="Times New Roman"/>
          <w:lang w:val="en-GB"/>
        </w:rPr>
        <w:t xml:space="preserve">3.1.4 </w:t>
      </w:r>
      <w:r w:rsidRPr="009F08C4">
        <w:rPr>
          <w:rFonts w:eastAsia="Times New Roman"/>
        </w:rPr>
        <w:t>Sunflower</w:t>
      </w:r>
      <w:bookmarkEnd w:id="183"/>
      <w:bookmarkEnd w:id="184"/>
      <w:bookmarkEnd w:id="185"/>
      <w:r w:rsidRPr="009F08C4">
        <w:rPr>
          <w:rFonts w:eastAsia="Times New Roman"/>
        </w:rPr>
        <w:t xml:space="preserve"> </w:t>
      </w:r>
    </w:p>
    <w:p w:rsidR="002B2894" w:rsidRPr="00487275" w:rsidRDefault="002B2894" w:rsidP="008A4463">
      <w:pPr>
        <w:spacing w:after="0" w:line="360" w:lineRule="auto"/>
        <w:jc w:val="both"/>
        <w:rPr>
          <w:rFonts w:cs="Arial"/>
          <w:sz w:val="24"/>
          <w:szCs w:val="24"/>
        </w:rPr>
      </w:pPr>
      <w:r w:rsidRPr="00487275">
        <w:rPr>
          <w:rFonts w:cs="Arial"/>
          <w:sz w:val="24"/>
          <w:szCs w:val="24"/>
        </w:rPr>
        <w:t>The price of sunflower seed has decreased by 17.8% during the first quarter of 2017 (Q1) as compared to the same period last year, which is 0.4% lower than it was in the previous quarter of 2017 (Q4). The local sunflower seed price in the first quarter of 2017 (Q1) traded at 17.8% lower than the import price, compared to trading at 4.7% below the import price in the Fourth quarter of 2016 (Q4). The prices of sunflower oil 2L in the first quarter 2017 (Q1) traded lower by 0.02% and whilst the price of sunflower 750ml in the first quarter of 2017 (Q1) traded 2.9% higher as compared to the same period in 2016 (Q1). The price of sunflower oil 20L in 2017 (Q1) increased by 2.5% and whilst the price of sunflower oil 750ml in 2017 (Q1</w:t>
      </w:r>
      <w:proofErr w:type="gramStart"/>
      <w:r w:rsidRPr="00487275">
        <w:rPr>
          <w:rFonts w:cs="Arial"/>
          <w:sz w:val="24"/>
          <w:szCs w:val="24"/>
        </w:rPr>
        <w:t>)  declined</w:t>
      </w:r>
      <w:proofErr w:type="gramEnd"/>
      <w:r w:rsidRPr="00487275">
        <w:rPr>
          <w:rFonts w:cs="Arial"/>
          <w:sz w:val="24"/>
          <w:szCs w:val="24"/>
        </w:rPr>
        <w:t xml:space="preserve"> by 0.3% as compared to the previous quarter in 2016 (Q4)</w:t>
      </w:r>
      <w:r w:rsidR="00487275">
        <w:rPr>
          <w:rFonts w:cs="Arial"/>
          <w:sz w:val="24"/>
          <w:szCs w:val="24"/>
        </w:rPr>
        <w:t>, see Figure 24</w:t>
      </w:r>
      <w:r w:rsidRPr="00487275">
        <w:rPr>
          <w:rFonts w:cs="Arial"/>
          <w:sz w:val="24"/>
          <w:szCs w:val="24"/>
        </w:rPr>
        <w:t>.</w:t>
      </w:r>
    </w:p>
    <w:p w:rsidR="002B2894" w:rsidRDefault="002B2894" w:rsidP="002B2894">
      <w:pPr>
        <w:spacing w:after="0" w:line="360" w:lineRule="auto"/>
        <w:jc w:val="both"/>
        <w:rPr>
          <w:color w:val="FF0000"/>
        </w:rPr>
      </w:pPr>
    </w:p>
    <w:p w:rsidR="002B2894" w:rsidRPr="00C075CC" w:rsidRDefault="002B2894" w:rsidP="0018202D">
      <w:pPr>
        <w:pStyle w:val="Heading3"/>
        <w:spacing w:before="0" w:line="240" w:lineRule="auto"/>
      </w:pPr>
      <w:bookmarkStart w:id="186" w:name="_Toc489345782"/>
      <w:bookmarkStart w:id="187" w:name="_Toc489345987"/>
      <w:bookmarkStart w:id="188" w:name="_Toc489537733"/>
      <w:r w:rsidRPr="00776836">
        <w:rPr>
          <w:noProof/>
        </w:rPr>
        <w:drawing>
          <wp:inline distT="0" distB="0" distL="0" distR="0" wp14:anchorId="1B7DF96B" wp14:editId="4AD634A5">
            <wp:extent cx="5750951" cy="2677844"/>
            <wp:effectExtent l="19050" t="0" r="21199" b="8206"/>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776836">
        <w:rPr>
          <w:b/>
        </w:rPr>
        <w:t xml:space="preserve">Figure </w:t>
      </w:r>
      <w:r w:rsidR="00276E67">
        <w:rPr>
          <w:b/>
        </w:rPr>
        <w:t>24</w:t>
      </w:r>
      <w:proofErr w:type="gramStart"/>
      <w:r w:rsidRPr="00776836">
        <w:rPr>
          <w:b/>
        </w:rPr>
        <w:t>:</w:t>
      </w:r>
      <w:r w:rsidRPr="00776836">
        <w:t>Sunflower</w:t>
      </w:r>
      <w:proofErr w:type="gramEnd"/>
      <w:r w:rsidRPr="00776836">
        <w:t xml:space="preserve"> local seed; import price (Randfontein) and Sunflower retail price</w:t>
      </w:r>
      <w:bookmarkEnd w:id="186"/>
      <w:bookmarkEnd w:id="187"/>
      <w:bookmarkEnd w:id="188"/>
    </w:p>
    <w:p w:rsidR="002B2894" w:rsidRPr="00276E67" w:rsidRDefault="002B2894" w:rsidP="00276E67">
      <w:pPr>
        <w:rPr>
          <w:rFonts w:cs="Arial"/>
          <w:szCs w:val="18"/>
        </w:rPr>
      </w:pPr>
      <w:bookmarkStart w:id="189" w:name="_Toc489345783"/>
      <w:bookmarkStart w:id="190" w:name="_Toc489345988"/>
      <w:r w:rsidRPr="00276E67">
        <w:rPr>
          <w:rFonts w:cs="Arial"/>
          <w:szCs w:val="18"/>
        </w:rPr>
        <w:t xml:space="preserve">Source: </w:t>
      </w:r>
      <w:proofErr w:type="spellStart"/>
      <w:r w:rsidRPr="00276E67">
        <w:rPr>
          <w:rFonts w:cs="Arial"/>
          <w:szCs w:val="18"/>
        </w:rPr>
        <w:t>Safex</w:t>
      </w:r>
      <w:proofErr w:type="spellEnd"/>
      <w:r w:rsidRPr="00276E67">
        <w:rPr>
          <w:rFonts w:cs="Arial"/>
          <w:szCs w:val="18"/>
        </w:rPr>
        <w:t xml:space="preserve">; USDA; </w:t>
      </w:r>
      <w:proofErr w:type="spellStart"/>
      <w:r w:rsidRPr="00276E67">
        <w:rPr>
          <w:rFonts w:cs="Arial"/>
          <w:szCs w:val="18"/>
        </w:rPr>
        <w:t>Sagis</w:t>
      </w:r>
      <w:proofErr w:type="spellEnd"/>
      <w:r w:rsidRPr="00276E67">
        <w:rPr>
          <w:rFonts w:cs="Arial"/>
          <w:szCs w:val="18"/>
        </w:rPr>
        <w:t>; and Own calculations</w:t>
      </w:r>
      <w:bookmarkEnd w:id="189"/>
      <w:bookmarkEnd w:id="190"/>
    </w:p>
    <w:p w:rsidR="002B2894" w:rsidRPr="000F11C8" w:rsidRDefault="002B2894" w:rsidP="002B2894">
      <w:pPr>
        <w:spacing w:after="0" w:line="360" w:lineRule="auto"/>
        <w:jc w:val="both"/>
        <w:rPr>
          <w:rFonts w:cs="Arial"/>
          <w:b/>
          <w:color w:val="FF0000"/>
        </w:rPr>
      </w:pPr>
    </w:p>
    <w:p w:rsidR="002B2894" w:rsidRPr="00687472" w:rsidRDefault="002B2894" w:rsidP="002B2894">
      <w:pPr>
        <w:spacing w:after="0" w:line="360" w:lineRule="auto"/>
        <w:jc w:val="both"/>
        <w:rPr>
          <w:rFonts w:cs="Arial"/>
          <w:sz w:val="24"/>
          <w:szCs w:val="24"/>
        </w:rPr>
      </w:pPr>
      <w:r w:rsidRPr="00687472">
        <w:rPr>
          <w:rFonts w:cs="Arial"/>
          <w:sz w:val="24"/>
          <w:szCs w:val="24"/>
        </w:rPr>
        <w:t>Producer deliveries in the first quarter of 201</w:t>
      </w:r>
      <w:r w:rsidR="00FD0F3F" w:rsidRPr="00687472">
        <w:rPr>
          <w:rFonts w:cs="Arial"/>
          <w:sz w:val="24"/>
          <w:szCs w:val="24"/>
        </w:rPr>
        <w:t>7</w:t>
      </w:r>
      <w:r w:rsidRPr="00687472">
        <w:rPr>
          <w:rFonts w:cs="Arial"/>
          <w:sz w:val="24"/>
          <w:szCs w:val="24"/>
        </w:rPr>
        <w:t xml:space="preserve"> (Q1) increased with greater margin by 25</w:t>
      </w:r>
      <w:r w:rsidR="00FD0F3F" w:rsidRPr="00687472">
        <w:rPr>
          <w:rFonts w:cs="Arial"/>
          <w:sz w:val="24"/>
          <w:szCs w:val="24"/>
        </w:rPr>
        <w:t xml:space="preserve">, </w:t>
      </w:r>
      <w:r w:rsidRPr="00687472">
        <w:rPr>
          <w:rFonts w:cs="Arial"/>
          <w:sz w:val="24"/>
          <w:szCs w:val="24"/>
        </w:rPr>
        <w:t>22% as compared to the previous quarter of 2016 (Q4), whilst also imports increased by 35% in the same quarter. Local sunflower consumption in the first quarter of 2017 (Q1) was 3% higher than it was in the previous quarter of 2016 (Q4). Local consumption in the first quarter of 2017 (Q1) is expected to be 119% higher than it was in the same quarter of 2016 (Q1)</w:t>
      </w:r>
      <w:r w:rsidR="00487275">
        <w:rPr>
          <w:rFonts w:cs="Arial"/>
          <w:sz w:val="24"/>
          <w:szCs w:val="24"/>
        </w:rPr>
        <w:t>, see Figure 25</w:t>
      </w:r>
      <w:r w:rsidRPr="00687472">
        <w:rPr>
          <w:rFonts w:cs="Arial"/>
          <w:sz w:val="24"/>
          <w:szCs w:val="24"/>
        </w:rPr>
        <w:t>.</w:t>
      </w:r>
    </w:p>
    <w:p w:rsidR="002B2894" w:rsidRPr="006F00BF" w:rsidRDefault="002B2894" w:rsidP="002B2894">
      <w:pPr>
        <w:spacing w:after="0" w:line="360" w:lineRule="auto"/>
        <w:jc w:val="both"/>
      </w:pPr>
    </w:p>
    <w:p w:rsidR="002B2894" w:rsidRPr="00776836" w:rsidRDefault="002B2894" w:rsidP="00C075CC">
      <w:pPr>
        <w:spacing w:after="0" w:line="240" w:lineRule="auto"/>
        <w:jc w:val="both"/>
        <w:rPr>
          <w:color w:val="FF0000"/>
          <w:szCs w:val="18"/>
        </w:rPr>
      </w:pPr>
      <w:r w:rsidRPr="00776836">
        <w:rPr>
          <w:noProof/>
          <w:color w:val="FF0000"/>
          <w:szCs w:val="18"/>
        </w:rPr>
        <w:drawing>
          <wp:inline distT="0" distB="0" distL="0" distR="0" wp14:anchorId="16AE8652" wp14:editId="4063AC3D">
            <wp:extent cx="5686230" cy="2664069"/>
            <wp:effectExtent l="19050" t="0" r="9720" b="2931"/>
            <wp:docPr id="1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B2894" w:rsidRPr="00776836" w:rsidRDefault="002B2894" w:rsidP="005A0364">
      <w:pPr>
        <w:pStyle w:val="Heading3"/>
        <w:spacing w:before="0" w:line="240" w:lineRule="auto"/>
      </w:pPr>
      <w:bookmarkStart w:id="191" w:name="_Toc489345784"/>
      <w:bookmarkStart w:id="192" w:name="_Toc489345989"/>
      <w:bookmarkStart w:id="193" w:name="_Toc489537734"/>
      <w:r w:rsidRPr="00776836">
        <w:rPr>
          <w:b/>
        </w:rPr>
        <w:t xml:space="preserve">Figure </w:t>
      </w:r>
      <w:r w:rsidR="00A31DE5">
        <w:rPr>
          <w:b/>
        </w:rPr>
        <w:t>2</w:t>
      </w:r>
      <w:r w:rsidR="005A0364">
        <w:rPr>
          <w:b/>
        </w:rPr>
        <w:t>5</w:t>
      </w:r>
      <w:r w:rsidRPr="00776836">
        <w:rPr>
          <w:b/>
        </w:rPr>
        <w:t>:</w:t>
      </w:r>
      <w:r w:rsidR="00FD0F3F" w:rsidRPr="00776836">
        <w:t xml:space="preserve"> </w:t>
      </w:r>
      <w:r w:rsidRPr="00776836">
        <w:t>Sunflower seed deliveries; local demand and trade</w:t>
      </w:r>
      <w:bookmarkEnd w:id="191"/>
      <w:bookmarkEnd w:id="192"/>
      <w:bookmarkEnd w:id="193"/>
    </w:p>
    <w:p w:rsidR="002B2894" w:rsidRPr="005A0364" w:rsidRDefault="002B2894" w:rsidP="005A0364">
      <w:pPr>
        <w:spacing w:after="0" w:line="240" w:lineRule="auto"/>
        <w:rPr>
          <w:rFonts w:cs="Arial"/>
          <w:szCs w:val="18"/>
        </w:rPr>
      </w:pPr>
      <w:bookmarkStart w:id="194" w:name="_Toc489345785"/>
      <w:bookmarkStart w:id="195" w:name="_Toc489345990"/>
      <w:r w:rsidRPr="005A0364">
        <w:rPr>
          <w:rFonts w:cs="Arial"/>
          <w:szCs w:val="18"/>
        </w:rPr>
        <w:t xml:space="preserve">Source: </w:t>
      </w:r>
      <w:proofErr w:type="spellStart"/>
      <w:r w:rsidRPr="005A0364">
        <w:rPr>
          <w:rFonts w:cs="Arial"/>
          <w:szCs w:val="18"/>
        </w:rPr>
        <w:t>Sagis</w:t>
      </w:r>
      <w:bookmarkEnd w:id="194"/>
      <w:bookmarkEnd w:id="195"/>
      <w:proofErr w:type="spellEnd"/>
    </w:p>
    <w:p w:rsidR="002B2894" w:rsidRDefault="002B2894" w:rsidP="00C075CC">
      <w:pPr>
        <w:pStyle w:val="Heading2"/>
        <w:spacing w:line="360" w:lineRule="auto"/>
        <w:rPr>
          <w:rFonts w:eastAsia="Times New Roman"/>
        </w:rPr>
      </w:pPr>
      <w:bookmarkStart w:id="196" w:name="_Toc489345786"/>
      <w:bookmarkStart w:id="197" w:name="_Toc489345991"/>
      <w:bookmarkStart w:id="198" w:name="_Toc489537735"/>
      <w:r w:rsidRPr="009F08C4">
        <w:rPr>
          <w:rFonts w:eastAsia="Times New Roman"/>
          <w:lang w:val="en-GB"/>
        </w:rPr>
        <w:t xml:space="preserve">3.1.5 </w:t>
      </w:r>
      <w:r w:rsidRPr="009F08C4">
        <w:rPr>
          <w:rFonts w:eastAsia="Times New Roman"/>
        </w:rPr>
        <w:t>Sorghum</w:t>
      </w:r>
      <w:bookmarkEnd w:id="196"/>
      <w:bookmarkEnd w:id="197"/>
      <w:bookmarkEnd w:id="198"/>
    </w:p>
    <w:p w:rsidR="00851977" w:rsidRPr="00851977" w:rsidRDefault="00851977" w:rsidP="00C075CC">
      <w:pPr>
        <w:spacing w:after="0" w:line="360" w:lineRule="auto"/>
        <w:jc w:val="both"/>
        <w:rPr>
          <w:rFonts w:eastAsia="Times New Roman" w:cs="Arial"/>
          <w:sz w:val="24"/>
          <w:szCs w:val="24"/>
        </w:rPr>
      </w:pPr>
      <w:r w:rsidRPr="00851977">
        <w:rPr>
          <w:rFonts w:eastAsia="Times New Roman" w:cs="Arial"/>
          <w:sz w:val="24"/>
          <w:szCs w:val="24"/>
        </w:rPr>
        <w:t xml:space="preserve">The price of sorghum is starting to come down due to its close correlation with maize as feed. The bumper maize crop expected in Southern hemisphere countries that has led to </w:t>
      </w:r>
      <w:proofErr w:type="gramStart"/>
      <w:r w:rsidRPr="00851977">
        <w:rPr>
          <w:rFonts w:eastAsia="Times New Roman" w:cs="Arial"/>
          <w:sz w:val="24"/>
          <w:szCs w:val="24"/>
        </w:rPr>
        <w:t>record  World</w:t>
      </w:r>
      <w:proofErr w:type="gramEnd"/>
      <w:r w:rsidRPr="00851977">
        <w:rPr>
          <w:rFonts w:eastAsia="Times New Roman" w:cs="Arial"/>
          <w:sz w:val="24"/>
          <w:szCs w:val="24"/>
        </w:rPr>
        <w:t xml:space="preserve">  maize output. Thus a rise in the maize crop output also led to a slowdown in sorghum prices which also put a downward pressure on local prices</w:t>
      </w:r>
      <w:r w:rsidR="00487275">
        <w:rPr>
          <w:rFonts w:eastAsia="Times New Roman" w:cs="Arial"/>
          <w:sz w:val="24"/>
          <w:szCs w:val="24"/>
        </w:rPr>
        <w:t>, see Figure 26</w:t>
      </w:r>
      <w:r w:rsidRPr="00851977">
        <w:rPr>
          <w:rFonts w:eastAsia="Times New Roman" w:cs="Arial"/>
          <w:sz w:val="24"/>
          <w:szCs w:val="24"/>
        </w:rPr>
        <w:t>. Additionally; there is a 115% expected increase in local production from 70k to 151k tons compared to 2016</w:t>
      </w:r>
      <w:r w:rsidR="00487275">
        <w:rPr>
          <w:rFonts w:eastAsia="Times New Roman" w:cs="Arial"/>
          <w:sz w:val="24"/>
          <w:szCs w:val="24"/>
        </w:rPr>
        <w:t xml:space="preserve"> </w:t>
      </w:r>
      <w:r w:rsidRPr="00851977">
        <w:rPr>
          <w:rFonts w:eastAsia="Times New Roman" w:cs="Arial"/>
          <w:sz w:val="24"/>
          <w:szCs w:val="24"/>
        </w:rPr>
        <w:t>( Table 2 below).</w:t>
      </w:r>
    </w:p>
    <w:p w:rsidR="00851977" w:rsidRPr="00851977" w:rsidRDefault="00851977" w:rsidP="00C075CC">
      <w:pPr>
        <w:spacing w:after="0" w:line="240" w:lineRule="auto"/>
        <w:jc w:val="both"/>
        <w:rPr>
          <w:rFonts w:eastAsia="Times New Roman" w:cs="Arial"/>
          <w:b/>
          <w:sz w:val="24"/>
          <w:szCs w:val="24"/>
        </w:rPr>
      </w:pPr>
      <w:r w:rsidRPr="00851977">
        <w:rPr>
          <w:rFonts w:eastAsia="Times New Roman" w:cs="Arial"/>
          <w:b/>
          <w:noProof/>
          <w:sz w:val="24"/>
          <w:szCs w:val="24"/>
        </w:rPr>
        <w:drawing>
          <wp:inline distT="0" distB="0" distL="0" distR="0" wp14:anchorId="4AD37FB2" wp14:editId="2ED699D8">
            <wp:extent cx="5652655" cy="2826327"/>
            <wp:effectExtent l="0" t="0" r="24765" b="12700"/>
            <wp:docPr id="177" name="Chart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51977" w:rsidRPr="00A31DE5" w:rsidRDefault="00851977" w:rsidP="00F403F4">
      <w:pPr>
        <w:pStyle w:val="Heading3"/>
        <w:spacing w:before="0" w:line="240" w:lineRule="auto"/>
        <w:rPr>
          <w:rFonts w:eastAsia="Times New Roman"/>
        </w:rPr>
      </w:pPr>
      <w:bookmarkStart w:id="199" w:name="_Toc489345787"/>
      <w:bookmarkStart w:id="200" w:name="_Toc489345992"/>
      <w:bookmarkStart w:id="201" w:name="_Toc489537736"/>
      <w:r w:rsidRPr="00A31DE5">
        <w:rPr>
          <w:rFonts w:eastAsia="Times New Roman"/>
          <w:b/>
        </w:rPr>
        <w:t>Figure 2</w:t>
      </w:r>
      <w:r w:rsidR="00FB382F">
        <w:rPr>
          <w:rFonts w:eastAsia="Times New Roman"/>
          <w:b/>
        </w:rPr>
        <w:t>6</w:t>
      </w:r>
      <w:r w:rsidRPr="00A31DE5">
        <w:rPr>
          <w:rFonts w:eastAsia="Times New Roman"/>
          <w:b/>
        </w:rPr>
        <w:t>:</w:t>
      </w:r>
      <w:r w:rsidRPr="00A31DE5">
        <w:rPr>
          <w:rFonts w:eastAsia="Times New Roman"/>
        </w:rPr>
        <w:t xml:space="preserve"> Sorghum Parity Price</w:t>
      </w:r>
      <w:bookmarkEnd w:id="199"/>
      <w:bookmarkEnd w:id="200"/>
      <w:bookmarkEnd w:id="201"/>
    </w:p>
    <w:p w:rsidR="00851977" w:rsidRPr="00A31DE5" w:rsidRDefault="00851977" w:rsidP="00F403F4">
      <w:pPr>
        <w:pStyle w:val="Heading3"/>
        <w:spacing w:before="0" w:line="240" w:lineRule="auto"/>
        <w:rPr>
          <w:rFonts w:eastAsia="Times New Roman"/>
        </w:rPr>
      </w:pPr>
      <w:bookmarkStart w:id="202" w:name="_Toc489345788"/>
      <w:bookmarkStart w:id="203" w:name="_Toc489345993"/>
      <w:bookmarkStart w:id="204" w:name="_Toc489537737"/>
      <w:r w:rsidRPr="00A31DE5">
        <w:rPr>
          <w:rFonts w:eastAsia="Times New Roman"/>
        </w:rPr>
        <w:t xml:space="preserve">Source: </w:t>
      </w:r>
      <w:proofErr w:type="spellStart"/>
      <w:r w:rsidRPr="00A31DE5">
        <w:rPr>
          <w:rFonts w:eastAsia="Times New Roman"/>
        </w:rPr>
        <w:t>Safex</w:t>
      </w:r>
      <w:proofErr w:type="spellEnd"/>
      <w:r w:rsidRPr="00A31DE5">
        <w:rPr>
          <w:rFonts w:eastAsia="Times New Roman"/>
        </w:rPr>
        <w:t xml:space="preserve">, </w:t>
      </w:r>
      <w:proofErr w:type="spellStart"/>
      <w:r w:rsidRPr="00A31DE5">
        <w:rPr>
          <w:rFonts w:eastAsia="Times New Roman"/>
        </w:rPr>
        <w:t>Sagis</w:t>
      </w:r>
      <w:bookmarkEnd w:id="202"/>
      <w:bookmarkEnd w:id="203"/>
      <w:bookmarkEnd w:id="204"/>
      <w:proofErr w:type="spellEnd"/>
    </w:p>
    <w:p w:rsidR="00851977" w:rsidRPr="00851977" w:rsidRDefault="00851977" w:rsidP="00851977">
      <w:pPr>
        <w:spacing w:after="0" w:line="360" w:lineRule="auto"/>
        <w:jc w:val="both"/>
        <w:rPr>
          <w:rFonts w:eastAsia="Times New Roman" w:cs="Arial"/>
          <w:b/>
          <w:sz w:val="24"/>
          <w:szCs w:val="24"/>
        </w:rPr>
      </w:pPr>
    </w:p>
    <w:p w:rsidR="00C075CC" w:rsidRDefault="00C075CC" w:rsidP="00851977">
      <w:pPr>
        <w:spacing w:after="0" w:line="360" w:lineRule="auto"/>
        <w:jc w:val="both"/>
        <w:rPr>
          <w:rFonts w:eastAsia="Times New Roman" w:cs="Arial"/>
          <w:sz w:val="24"/>
          <w:szCs w:val="24"/>
        </w:rPr>
      </w:pPr>
    </w:p>
    <w:p w:rsidR="00851977" w:rsidRPr="00851977" w:rsidRDefault="00851977" w:rsidP="00851977">
      <w:pPr>
        <w:spacing w:after="0" w:line="360" w:lineRule="auto"/>
        <w:jc w:val="both"/>
        <w:rPr>
          <w:rFonts w:eastAsia="Times New Roman" w:cs="Arial"/>
          <w:sz w:val="24"/>
          <w:szCs w:val="24"/>
        </w:rPr>
      </w:pPr>
      <w:r w:rsidRPr="00851977">
        <w:rPr>
          <w:rFonts w:eastAsia="Times New Roman" w:cs="Arial"/>
          <w:sz w:val="24"/>
          <w:szCs w:val="24"/>
        </w:rPr>
        <w:t xml:space="preserve">As shown on table 2, imports are expected to decline by 20% and local consumption is expected to decline by a percentage, whilst exports are expected to rise by 11%. The rise in sorghum production explains inter-alia; the falling prices that are starting to trade at the import parity price. </w:t>
      </w:r>
    </w:p>
    <w:p w:rsidR="00851977" w:rsidRPr="00F403F4" w:rsidRDefault="00007B86" w:rsidP="00851977">
      <w:pPr>
        <w:spacing w:after="0" w:line="360" w:lineRule="auto"/>
        <w:jc w:val="both"/>
        <w:rPr>
          <w:rFonts w:eastAsia="Times New Roman" w:cs="Arial"/>
          <w:b/>
          <w:color w:val="FF0000"/>
          <w:sz w:val="24"/>
          <w:szCs w:val="24"/>
        </w:rPr>
      </w:pPr>
      <w:r w:rsidRPr="00007B86">
        <w:rPr>
          <w:rFonts w:ascii="Calibri" w:eastAsia="Calibri" w:hAnsi="Calibri" w:cs="Times New Roman"/>
          <w:noProof/>
          <w:sz w:val="22"/>
        </w:rPr>
        <w:drawing>
          <wp:inline distT="0" distB="0" distL="0" distR="0" wp14:anchorId="79D8C690" wp14:editId="0C466D04">
            <wp:extent cx="5731510" cy="1883022"/>
            <wp:effectExtent l="0" t="0" r="2540" b="317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1883022"/>
                    </a:xfrm>
                    <a:prstGeom prst="rect">
                      <a:avLst/>
                    </a:prstGeom>
                    <a:noFill/>
                    <a:ln>
                      <a:noFill/>
                    </a:ln>
                  </pic:spPr>
                </pic:pic>
              </a:graphicData>
            </a:graphic>
          </wp:inline>
        </w:drawing>
      </w:r>
      <w:r w:rsidR="00851977" w:rsidRPr="00F403F4">
        <w:rPr>
          <w:rFonts w:eastAsia="Times New Roman" w:cs="Arial"/>
          <w:b/>
          <w:color w:val="FF0000"/>
          <w:sz w:val="24"/>
          <w:szCs w:val="24"/>
        </w:rPr>
        <w:fldChar w:fldCharType="begin"/>
      </w:r>
      <w:r w:rsidR="00851977" w:rsidRPr="00F403F4">
        <w:rPr>
          <w:rFonts w:eastAsia="Times New Roman" w:cs="Arial"/>
          <w:b/>
          <w:color w:val="FF0000"/>
          <w:sz w:val="24"/>
          <w:szCs w:val="24"/>
        </w:rPr>
        <w:instrText xml:space="preserve"> LINK Excel.Sheet.8 "C:\\Users\\MakgokaL.MAIZE\\Desktop\\Quarter1 2017\\Sorghum\\Sorghum table 2.xls" Sorghum!R50C10:R56C17 \a \f 5 \h  \* MERGEFORMAT </w:instrText>
      </w:r>
      <w:r w:rsidR="00851977" w:rsidRPr="00F403F4">
        <w:rPr>
          <w:rFonts w:eastAsia="Times New Roman" w:cs="Arial"/>
          <w:b/>
          <w:color w:val="FF0000"/>
          <w:sz w:val="24"/>
          <w:szCs w:val="24"/>
        </w:rPr>
        <w:fldChar w:fldCharType="separate"/>
      </w:r>
    </w:p>
    <w:p w:rsidR="00851977" w:rsidRPr="00007B86" w:rsidRDefault="00851977" w:rsidP="00C075CC">
      <w:pPr>
        <w:pStyle w:val="Heading3"/>
        <w:spacing w:before="0" w:line="240" w:lineRule="auto"/>
        <w:rPr>
          <w:rFonts w:eastAsia="Times New Roman"/>
        </w:rPr>
      </w:pPr>
      <w:r w:rsidRPr="00F403F4">
        <w:rPr>
          <w:rFonts w:eastAsia="Times New Roman"/>
          <w:b/>
          <w:color w:val="FF0000"/>
          <w:sz w:val="24"/>
          <w:szCs w:val="24"/>
        </w:rPr>
        <w:fldChar w:fldCharType="end"/>
      </w:r>
      <w:bookmarkStart w:id="205" w:name="_Toc489345789"/>
      <w:bookmarkStart w:id="206" w:name="_Toc489345994"/>
      <w:bookmarkStart w:id="207" w:name="_Toc489537738"/>
      <w:r w:rsidRPr="00007B86">
        <w:rPr>
          <w:rFonts w:eastAsia="Times New Roman"/>
          <w:b/>
        </w:rPr>
        <w:t>Table 2:</w:t>
      </w:r>
      <w:r w:rsidRPr="00007B86">
        <w:rPr>
          <w:rFonts w:eastAsia="Times New Roman"/>
        </w:rPr>
        <w:t xml:space="preserve"> </w:t>
      </w:r>
      <w:r w:rsidR="00487275" w:rsidRPr="00487275">
        <w:rPr>
          <w:rFonts w:eastAsia="Times New Roman"/>
        </w:rPr>
        <w:t xml:space="preserve">Sorghum </w:t>
      </w:r>
      <w:r w:rsidR="00487275">
        <w:rPr>
          <w:rFonts w:eastAsia="Times New Roman"/>
        </w:rPr>
        <w:t>p</w:t>
      </w:r>
      <w:r w:rsidRPr="00007B86">
        <w:rPr>
          <w:rFonts w:eastAsia="Times New Roman"/>
        </w:rPr>
        <w:t>roduction &amp; Use Table</w:t>
      </w:r>
      <w:bookmarkEnd w:id="205"/>
      <w:bookmarkEnd w:id="206"/>
      <w:bookmarkEnd w:id="207"/>
    </w:p>
    <w:p w:rsidR="00851977" w:rsidRPr="00007B86" w:rsidRDefault="00851977" w:rsidP="00851977">
      <w:pPr>
        <w:spacing w:after="0" w:line="360" w:lineRule="auto"/>
        <w:jc w:val="both"/>
        <w:rPr>
          <w:rFonts w:eastAsia="Times New Roman" w:cs="Arial"/>
          <w:szCs w:val="18"/>
        </w:rPr>
      </w:pPr>
      <w:r w:rsidRPr="00007B86">
        <w:rPr>
          <w:rFonts w:eastAsia="Times New Roman" w:cs="Arial"/>
          <w:szCs w:val="18"/>
        </w:rPr>
        <w:t>Source: DAFF/ NAMC/</w:t>
      </w:r>
      <w:proofErr w:type="spellStart"/>
      <w:r w:rsidRPr="00007B86">
        <w:rPr>
          <w:rFonts w:eastAsia="Times New Roman" w:cs="Arial"/>
          <w:szCs w:val="18"/>
        </w:rPr>
        <w:t>Sagis</w:t>
      </w:r>
      <w:proofErr w:type="spellEnd"/>
    </w:p>
    <w:p w:rsidR="002B2894" w:rsidRPr="00F403F4" w:rsidRDefault="002B2894" w:rsidP="008A4463">
      <w:pPr>
        <w:pStyle w:val="Heading2"/>
        <w:spacing w:line="360" w:lineRule="auto"/>
        <w:rPr>
          <w:rFonts w:eastAsia="Times New Roman"/>
          <w:lang w:val="en-GB"/>
        </w:rPr>
      </w:pPr>
      <w:bookmarkStart w:id="208" w:name="_Toc489345790"/>
      <w:bookmarkStart w:id="209" w:name="_Toc489345995"/>
      <w:bookmarkStart w:id="210" w:name="_Toc489537739"/>
      <w:r w:rsidRPr="00F403F4">
        <w:rPr>
          <w:rFonts w:eastAsia="Times New Roman"/>
          <w:lang w:val="en-GB"/>
        </w:rPr>
        <w:t>3.1.6 Groundnuts</w:t>
      </w:r>
      <w:bookmarkEnd w:id="208"/>
      <w:bookmarkEnd w:id="209"/>
      <w:bookmarkEnd w:id="210"/>
    </w:p>
    <w:p w:rsidR="002D6D7E" w:rsidRPr="002D6D7E" w:rsidRDefault="002D6D7E" w:rsidP="008A4463">
      <w:pPr>
        <w:spacing w:after="0" w:line="360" w:lineRule="auto"/>
        <w:jc w:val="both"/>
        <w:rPr>
          <w:rFonts w:eastAsia="Times New Roman" w:cs="Arial"/>
          <w:color w:val="000000"/>
          <w:sz w:val="24"/>
          <w:szCs w:val="24"/>
        </w:rPr>
      </w:pPr>
      <w:r w:rsidRPr="002D6D7E">
        <w:rPr>
          <w:rFonts w:eastAsia="Times New Roman" w:cs="Arial"/>
          <w:color w:val="000000"/>
          <w:sz w:val="24"/>
          <w:szCs w:val="24"/>
        </w:rPr>
        <w:t xml:space="preserve">After the devastating drought, new projections of the expected 2017 crop implies a projected increase of 412% compared to last season's crop. Last season's crop reached 17 680 tons with only 22 600 hectares planted due to the devastating drought. However, with 56 000 hectares planted for the 2016/2017 season, the chairperson of the South African Groundnut Forum (SAGF) remains positive about the industry. According to SAGF, should the 90 550 tons be realised, this will be the largest crop since 2008, 2009 and 2010 seasons. </w:t>
      </w:r>
    </w:p>
    <w:p w:rsidR="002D6D7E" w:rsidRPr="002D6D7E" w:rsidRDefault="002D6D7E" w:rsidP="002D6D7E">
      <w:pPr>
        <w:spacing w:after="0" w:line="360" w:lineRule="auto"/>
        <w:jc w:val="both"/>
        <w:rPr>
          <w:rFonts w:eastAsia="Times New Roman" w:cs="Arial"/>
          <w:color w:val="000000"/>
          <w:sz w:val="24"/>
          <w:szCs w:val="24"/>
        </w:rPr>
      </w:pPr>
    </w:p>
    <w:p w:rsidR="002D6D7E" w:rsidRPr="002D6D7E" w:rsidRDefault="002D6D7E" w:rsidP="002D6D7E">
      <w:pPr>
        <w:spacing w:after="0" w:line="360" w:lineRule="auto"/>
        <w:jc w:val="both"/>
        <w:outlineLvl w:val="0"/>
        <w:rPr>
          <w:rFonts w:eastAsia="Times New Roman" w:cs="Arial"/>
          <w:sz w:val="24"/>
          <w:szCs w:val="24"/>
          <w:shd w:val="clear" w:color="auto" w:fill="FFFFFF"/>
          <w:lang w:val="en-GB" w:eastAsia="en-US"/>
        </w:rPr>
      </w:pPr>
    </w:p>
    <w:p w:rsidR="002D6D7E" w:rsidRPr="002D6D7E" w:rsidRDefault="002D6D7E" w:rsidP="00FB382F">
      <w:pPr>
        <w:spacing w:after="0" w:line="240" w:lineRule="auto"/>
        <w:rPr>
          <w:rFonts w:eastAsia="Times New Roman"/>
          <w:shd w:val="clear" w:color="auto" w:fill="FFFFFF"/>
          <w:lang w:val="en-GB" w:eastAsia="en-US"/>
        </w:rPr>
      </w:pPr>
      <w:bookmarkStart w:id="211" w:name="_Toc489345791"/>
      <w:bookmarkStart w:id="212" w:name="_Toc489345996"/>
      <w:r w:rsidRPr="002D6D7E">
        <w:rPr>
          <w:rFonts w:eastAsia="Times New Roman"/>
          <w:noProof/>
          <w:shd w:val="clear" w:color="auto" w:fill="FFFFFF"/>
        </w:rPr>
        <w:drawing>
          <wp:inline distT="0" distB="0" distL="0" distR="0" wp14:anchorId="04D0D8BF" wp14:editId="5B17C3E5">
            <wp:extent cx="5285433" cy="2743200"/>
            <wp:effectExtent l="0" t="0" r="10795" b="19050"/>
            <wp:docPr id="19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End w:id="211"/>
      <w:bookmarkEnd w:id="212"/>
    </w:p>
    <w:p w:rsidR="002D6D7E" w:rsidRPr="002D6D7E" w:rsidRDefault="00FB382F" w:rsidP="00FB382F">
      <w:pPr>
        <w:pStyle w:val="Heading3"/>
        <w:spacing w:before="0" w:line="240" w:lineRule="auto"/>
        <w:rPr>
          <w:rFonts w:eastAsia="Times New Roman"/>
          <w:lang w:val="en-GB" w:eastAsia="en-US"/>
        </w:rPr>
      </w:pPr>
      <w:bookmarkStart w:id="213" w:name="_Toc489345792"/>
      <w:bookmarkStart w:id="214" w:name="_Toc489345997"/>
      <w:bookmarkStart w:id="215" w:name="_Toc489537740"/>
      <w:r>
        <w:rPr>
          <w:rFonts w:eastAsia="Times New Roman"/>
          <w:b/>
          <w:lang w:val="en-GB" w:eastAsia="en-US"/>
        </w:rPr>
        <w:t>Figure 27</w:t>
      </w:r>
      <w:r w:rsidR="002D6D7E" w:rsidRPr="002D6D7E">
        <w:rPr>
          <w:rFonts w:eastAsia="Times New Roman"/>
          <w:lang w:val="en-GB" w:eastAsia="en-US"/>
        </w:rPr>
        <w:t>: Supply and demand of Groundnuts</w:t>
      </w:r>
      <w:bookmarkEnd w:id="213"/>
      <w:bookmarkEnd w:id="214"/>
      <w:bookmarkEnd w:id="215"/>
    </w:p>
    <w:p w:rsidR="002D6D7E" w:rsidRPr="00FB382F" w:rsidRDefault="002D6D7E" w:rsidP="00FB382F">
      <w:pPr>
        <w:spacing w:after="0" w:line="240" w:lineRule="auto"/>
        <w:rPr>
          <w:rFonts w:eastAsia="Times New Roman" w:cs="Arial"/>
          <w:szCs w:val="18"/>
          <w:lang w:val="en-GB" w:eastAsia="en-US"/>
        </w:rPr>
      </w:pPr>
      <w:bookmarkStart w:id="216" w:name="_Toc489345793"/>
      <w:bookmarkStart w:id="217" w:name="_Toc489345998"/>
      <w:r w:rsidRPr="00FB382F">
        <w:rPr>
          <w:rFonts w:eastAsia="Times New Roman" w:cs="Arial"/>
          <w:noProof/>
          <w:szCs w:val="18"/>
        </w:rPr>
        <w:t>Source: Sagis</w:t>
      </w:r>
      <w:bookmarkEnd w:id="216"/>
      <w:bookmarkEnd w:id="217"/>
    </w:p>
    <w:p w:rsidR="002D6D7E" w:rsidRPr="002D6D7E" w:rsidRDefault="002D6D7E" w:rsidP="002D6D7E">
      <w:pPr>
        <w:spacing w:after="0" w:line="360" w:lineRule="auto"/>
        <w:jc w:val="both"/>
        <w:rPr>
          <w:rFonts w:eastAsia="Times New Roman" w:cs="Arial"/>
          <w:color w:val="000000"/>
          <w:sz w:val="24"/>
          <w:szCs w:val="24"/>
        </w:rPr>
      </w:pPr>
    </w:p>
    <w:p w:rsidR="002D6D7E" w:rsidRPr="002D6D7E" w:rsidRDefault="002D6D7E" w:rsidP="002D6D7E">
      <w:pPr>
        <w:spacing w:after="0" w:line="360" w:lineRule="auto"/>
        <w:jc w:val="both"/>
        <w:outlineLvl w:val="0"/>
        <w:rPr>
          <w:rFonts w:eastAsia="Times New Roman" w:cs="Arial"/>
          <w:sz w:val="24"/>
          <w:szCs w:val="24"/>
          <w:shd w:val="clear" w:color="auto" w:fill="FFFFFF"/>
          <w:lang w:val="en-GB" w:eastAsia="en-US"/>
        </w:rPr>
      </w:pPr>
      <w:bookmarkStart w:id="218" w:name="_Toc489345794"/>
      <w:bookmarkStart w:id="219" w:name="_Toc489345999"/>
      <w:bookmarkStart w:id="220" w:name="_Toc489537741"/>
      <w:r>
        <w:rPr>
          <w:rFonts w:eastAsia="Times New Roman" w:cs="Arial"/>
          <w:sz w:val="24"/>
          <w:szCs w:val="24"/>
          <w:shd w:val="clear" w:color="auto" w:fill="FFFFFF"/>
          <w:lang w:val="en-GB" w:eastAsia="en-US"/>
        </w:rPr>
        <w:t>Figure 2</w:t>
      </w:r>
      <w:r w:rsidR="00FB382F">
        <w:rPr>
          <w:rFonts w:eastAsia="Times New Roman" w:cs="Arial"/>
          <w:sz w:val="24"/>
          <w:szCs w:val="24"/>
          <w:shd w:val="clear" w:color="auto" w:fill="FFFFFF"/>
          <w:lang w:val="en-GB" w:eastAsia="en-US"/>
        </w:rPr>
        <w:t>7</w:t>
      </w:r>
      <w:r w:rsidRPr="002D6D7E">
        <w:rPr>
          <w:rFonts w:eastAsia="Times New Roman" w:cs="Arial"/>
          <w:sz w:val="24"/>
          <w:szCs w:val="24"/>
          <w:shd w:val="clear" w:color="auto" w:fill="FFFFFF"/>
          <w:lang w:val="en-GB" w:eastAsia="en-US"/>
        </w:rPr>
        <w:t xml:space="preserve"> shows supply and demand of groundnuts between the January and March 2017.</w:t>
      </w:r>
      <w:r>
        <w:rPr>
          <w:rFonts w:eastAsia="Times New Roman" w:cs="Arial"/>
          <w:sz w:val="24"/>
          <w:szCs w:val="24"/>
          <w:shd w:val="clear" w:color="auto" w:fill="FFFFFF"/>
          <w:lang w:val="en-GB" w:eastAsia="en-US"/>
        </w:rPr>
        <w:t xml:space="preserve"> </w:t>
      </w:r>
      <w:r w:rsidRPr="002D6D7E">
        <w:rPr>
          <w:rFonts w:eastAsia="Times New Roman" w:cs="Arial"/>
          <w:color w:val="000000"/>
          <w:sz w:val="24"/>
          <w:szCs w:val="24"/>
        </w:rPr>
        <w:t>Producer deliveries of groundnut came in at a very slow pace in January 2017, increased gradually in February and reached 381 tons in March 2017. Groundnut producers are faced with high labour costs, higher mechanisation costs and competition from alternative commodities. Local demand of groundnuts remained volatile between January and March 2017, moving from 5 393 tons in January 2017, decreased slightly in February and increased to 5 473 tons in March 2017. Exports of groundnuts decreased considerably between January and March 2017, decreasing from 457 tons in January to no groundnuts exported during March 2017, see figure 30. The South African Groundnut Forum (SAGF) believes there is enough opportunity for South Africa to perform well in the export market.</w:t>
      </w:r>
      <w:bookmarkEnd w:id="218"/>
      <w:bookmarkEnd w:id="219"/>
      <w:bookmarkEnd w:id="220"/>
      <w:r w:rsidRPr="002D6D7E">
        <w:rPr>
          <w:rFonts w:eastAsia="Times New Roman" w:cs="Arial"/>
          <w:color w:val="000000"/>
          <w:sz w:val="24"/>
          <w:szCs w:val="24"/>
        </w:rPr>
        <w:t xml:space="preserve"> </w:t>
      </w:r>
    </w:p>
    <w:p w:rsidR="002D6D7E" w:rsidRPr="002D6D7E" w:rsidRDefault="002D6D7E" w:rsidP="002D6D7E">
      <w:pPr>
        <w:spacing w:after="0" w:line="360" w:lineRule="auto"/>
        <w:jc w:val="both"/>
        <w:rPr>
          <w:rFonts w:eastAsia="Times New Roman" w:cs="Arial"/>
          <w:color w:val="000000"/>
          <w:sz w:val="24"/>
          <w:szCs w:val="24"/>
        </w:rPr>
      </w:pPr>
    </w:p>
    <w:p w:rsidR="002D6D7E" w:rsidRPr="002D6D7E" w:rsidRDefault="002D6D7E" w:rsidP="00FB382F">
      <w:pPr>
        <w:spacing w:after="0" w:line="240" w:lineRule="auto"/>
        <w:jc w:val="both"/>
        <w:outlineLvl w:val="0"/>
        <w:rPr>
          <w:rFonts w:eastAsia="Times New Roman" w:cs="Arial"/>
          <w:sz w:val="24"/>
          <w:szCs w:val="24"/>
          <w:shd w:val="clear" w:color="auto" w:fill="FFFFFF"/>
          <w:lang w:val="en-GB" w:eastAsia="en-US"/>
        </w:rPr>
      </w:pPr>
      <w:bookmarkStart w:id="221" w:name="_Toc489345795"/>
      <w:bookmarkStart w:id="222" w:name="_Toc489346000"/>
      <w:bookmarkStart w:id="223" w:name="_Toc489537742"/>
      <w:r w:rsidRPr="002D6D7E">
        <w:rPr>
          <w:rFonts w:eastAsia="Times New Roman" w:cs="Arial"/>
          <w:noProof/>
          <w:sz w:val="24"/>
          <w:szCs w:val="24"/>
          <w:shd w:val="clear" w:color="auto" w:fill="FFFFFF"/>
        </w:rPr>
        <w:drawing>
          <wp:inline distT="0" distB="0" distL="0" distR="0" wp14:anchorId="39C2FDFC" wp14:editId="08968591">
            <wp:extent cx="5172075" cy="2743200"/>
            <wp:effectExtent l="19050" t="0" r="9525" b="0"/>
            <wp:docPr id="19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bookmarkEnd w:id="221"/>
      <w:bookmarkEnd w:id="222"/>
      <w:bookmarkEnd w:id="223"/>
    </w:p>
    <w:p w:rsidR="002D6D7E" w:rsidRPr="002D6D7E" w:rsidRDefault="00FB382F" w:rsidP="00FB382F">
      <w:pPr>
        <w:pStyle w:val="Heading3"/>
        <w:spacing w:before="0" w:line="240" w:lineRule="auto"/>
        <w:rPr>
          <w:rFonts w:eastAsia="Times New Roman"/>
          <w:lang w:val="en-GB" w:eastAsia="en-US"/>
        </w:rPr>
      </w:pPr>
      <w:bookmarkStart w:id="224" w:name="_Toc489345796"/>
      <w:bookmarkStart w:id="225" w:name="_Toc489346001"/>
      <w:bookmarkStart w:id="226" w:name="_Toc489537743"/>
      <w:r>
        <w:rPr>
          <w:rFonts w:eastAsia="Times New Roman"/>
          <w:b/>
          <w:lang w:val="en-GB" w:eastAsia="en-US"/>
        </w:rPr>
        <w:t>Figure 28</w:t>
      </w:r>
      <w:r w:rsidR="002D6D7E" w:rsidRPr="002D6D7E">
        <w:rPr>
          <w:rFonts w:eastAsia="Times New Roman"/>
          <w:lang w:val="en-GB" w:eastAsia="en-US"/>
        </w:rPr>
        <w:t>: Groundnuts exports and imports</w:t>
      </w:r>
      <w:bookmarkEnd w:id="224"/>
      <w:bookmarkEnd w:id="225"/>
      <w:bookmarkEnd w:id="226"/>
    </w:p>
    <w:p w:rsidR="002D6D7E" w:rsidRPr="00FB382F" w:rsidRDefault="002D6D7E" w:rsidP="00FB382F">
      <w:pPr>
        <w:spacing w:after="0"/>
        <w:rPr>
          <w:rFonts w:eastAsia="Times New Roman" w:cs="Arial"/>
          <w:noProof/>
          <w:szCs w:val="18"/>
        </w:rPr>
      </w:pPr>
      <w:bookmarkStart w:id="227" w:name="_Toc489345797"/>
      <w:bookmarkStart w:id="228" w:name="_Toc489346002"/>
      <w:r w:rsidRPr="00FB382F">
        <w:rPr>
          <w:rFonts w:eastAsia="Times New Roman" w:cs="Arial"/>
          <w:noProof/>
          <w:szCs w:val="18"/>
        </w:rPr>
        <w:t>Source: Sagis</w:t>
      </w:r>
      <w:bookmarkEnd w:id="227"/>
      <w:bookmarkEnd w:id="228"/>
    </w:p>
    <w:p w:rsidR="002D6D7E" w:rsidRPr="002D6D7E" w:rsidRDefault="002D6D7E" w:rsidP="002D6D7E">
      <w:pPr>
        <w:spacing w:after="0" w:line="360" w:lineRule="auto"/>
        <w:jc w:val="both"/>
        <w:outlineLvl w:val="0"/>
        <w:rPr>
          <w:rFonts w:eastAsia="Times New Roman" w:cs="Arial"/>
          <w:noProof/>
          <w:szCs w:val="18"/>
        </w:rPr>
      </w:pPr>
    </w:p>
    <w:p w:rsidR="002D6D7E" w:rsidRPr="002D6D7E" w:rsidRDefault="002D6D7E" w:rsidP="002D6D7E">
      <w:pPr>
        <w:spacing w:after="0" w:line="360" w:lineRule="auto"/>
        <w:jc w:val="both"/>
        <w:rPr>
          <w:rFonts w:eastAsia="Times New Roman" w:cs="Arial"/>
          <w:color w:val="000000"/>
          <w:sz w:val="24"/>
          <w:szCs w:val="24"/>
        </w:rPr>
      </w:pPr>
      <w:r w:rsidRPr="002D6D7E">
        <w:rPr>
          <w:rFonts w:eastAsia="Times New Roman" w:cs="Arial"/>
          <w:color w:val="000000"/>
          <w:sz w:val="24"/>
          <w:szCs w:val="24"/>
        </w:rPr>
        <w:t xml:space="preserve">Over the period January 2015 and January 2017, exports of groundnuts displayed a decreasing trend. Between the first quarter of 2016 and the first quarter of 2017, exports of groundnuts have been on the decline, decreasing by 87%, from 4 263 tons in the first quarter of 2016 to 565 tons in the first quarter of 2017, see </w:t>
      </w:r>
      <w:r w:rsidR="00487275">
        <w:rPr>
          <w:rFonts w:eastAsia="Times New Roman" w:cs="Arial"/>
          <w:color w:val="000000"/>
          <w:sz w:val="24"/>
          <w:szCs w:val="24"/>
        </w:rPr>
        <w:t>F</w:t>
      </w:r>
      <w:r w:rsidRPr="002D6D7E">
        <w:rPr>
          <w:rFonts w:eastAsia="Times New Roman" w:cs="Arial"/>
          <w:color w:val="000000"/>
          <w:sz w:val="24"/>
          <w:szCs w:val="24"/>
        </w:rPr>
        <w:t xml:space="preserve">igure </w:t>
      </w:r>
      <w:r w:rsidR="00487275">
        <w:rPr>
          <w:rFonts w:eastAsia="Times New Roman" w:cs="Arial"/>
          <w:color w:val="000000"/>
          <w:sz w:val="24"/>
          <w:szCs w:val="24"/>
        </w:rPr>
        <w:t>28</w:t>
      </w:r>
      <w:r w:rsidRPr="002D6D7E">
        <w:rPr>
          <w:rFonts w:eastAsia="Times New Roman" w:cs="Arial"/>
          <w:color w:val="000000"/>
          <w:sz w:val="24"/>
          <w:szCs w:val="24"/>
        </w:rPr>
        <w:t>. The greatest challenge facing the groundnut industry is to re-establish South Africa as a relevant role-player in the international market. On the contrary, imports of groundnuts displayed an increasing trend over the period January 2015 and December 2016. Between the first quarter of 2016 and the first quarter of 2017, imports of groundnuts were volatile</w:t>
      </w:r>
      <w:r w:rsidR="00E63B52">
        <w:rPr>
          <w:rFonts w:eastAsia="Times New Roman" w:cs="Arial"/>
          <w:color w:val="000000"/>
          <w:sz w:val="24"/>
          <w:szCs w:val="24"/>
        </w:rPr>
        <w:t>,</w:t>
      </w:r>
      <w:r w:rsidRPr="002D6D7E">
        <w:rPr>
          <w:rFonts w:eastAsia="Times New Roman" w:cs="Arial"/>
          <w:color w:val="000000"/>
          <w:sz w:val="24"/>
          <w:szCs w:val="24"/>
        </w:rPr>
        <w:t xml:space="preserve"> however</w:t>
      </w:r>
      <w:r w:rsidR="00E63B52">
        <w:rPr>
          <w:rFonts w:eastAsia="Times New Roman" w:cs="Arial"/>
          <w:color w:val="000000"/>
          <w:sz w:val="24"/>
          <w:szCs w:val="24"/>
        </w:rPr>
        <w:t>;</w:t>
      </w:r>
      <w:r w:rsidRPr="002D6D7E">
        <w:rPr>
          <w:rFonts w:eastAsia="Times New Roman" w:cs="Arial"/>
          <w:color w:val="000000"/>
          <w:sz w:val="24"/>
          <w:szCs w:val="24"/>
        </w:rPr>
        <w:t xml:space="preserve"> increased by 89%, from to 7 518 tons to 14 196 tons over the period. South African groundnut producers can earn a healthy premium from locally produced groundnut if local production can be stimulated to levels where it meets local demand. According to the South African Groundnut Forum (SAGF), strategies are being put in place.  </w:t>
      </w:r>
    </w:p>
    <w:p w:rsidR="002D6D7E" w:rsidRPr="002D6D7E" w:rsidRDefault="002D6D7E" w:rsidP="002D6D7E">
      <w:pPr>
        <w:spacing w:after="0" w:line="360" w:lineRule="auto"/>
        <w:jc w:val="both"/>
        <w:outlineLvl w:val="0"/>
        <w:rPr>
          <w:rFonts w:eastAsia="Times New Roman" w:cs="Arial"/>
          <w:szCs w:val="18"/>
          <w:lang w:val="en-GB" w:eastAsia="en-US"/>
        </w:rPr>
      </w:pPr>
    </w:p>
    <w:p w:rsidR="002D6D7E" w:rsidRPr="002D6D7E" w:rsidRDefault="002D6D7E" w:rsidP="002D6D7E">
      <w:pPr>
        <w:spacing w:after="0" w:line="360" w:lineRule="auto"/>
        <w:jc w:val="both"/>
        <w:outlineLvl w:val="0"/>
        <w:rPr>
          <w:rFonts w:eastAsia="Times New Roman" w:cs="Arial"/>
          <w:sz w:val="24"/>
          <w:szCs w:val="24"/>
          <w:shd w:val="clear" w:color="auto" w:fill="FFFFFF"/>
          <w:lang w:val="en-GB" w:eastAsia="en-US"/>
        </w:rPr>
      </w:pPr>
    </w:p>
    <w:p w:rsidR="002D6D7E" w:rsidRPr="002D6D7E" w:rsidRDefault="002D6D7E" w:rsidP="00C075CC">
      <w:pPr>
        <w:spacing w:after="0" w:line="240" w:lineRule="auto"/>
        <w:jc w:val="both"/>
        <w:outlineLvl w:val="0"/>
        <w:rPr>
          <w:rFonts w:eastAsia="Times New Roman" w:cs="Arial"/>
          <w:sz w:val="24"/>
          <w:szCs w:val="24"/>
          <w:shd w:val="clear" w:color="auto" w:fill="FFFFFF"/>
          <w:lang w:val="en-GB" w:eastAsia="en-US"/>
        </w:rPr>
      </w:pPr>
      <w:bookmarkStart w:id="229" w:name="_Toc489345798"/>
      <w:bookmarkStart w:id="230" w:name="_Toc489346003"/>
      <w:bookmarkStart w:id="231" w:name="_Toc489537744"/>
      <w:r w:rsidRPr="002D6D7E">
        <w:rPr>
          <w:rFonts w:eastAsia="Times New Roman" w:cs="Arial"/>
          <w:noProof/>
          <w:sz w:val="24"/>
          <w:szCs w:val="24"/>
          <w:shd w:val="clear" w:color="auto" w:fill="FFFFFF"/>
        </w:rPr>
        <w:drawing>
          <wp:inline distT="0" distB="0" distL="0" distR="0" wp14:anchorId="118EB710" wp14:editId="2B119ACF">
            <wp:extent cx="5172075" cy="2743200"/>
            <wp:effectExtent l="19050" t="0" r="9525" b="0"/>
            <wp:docPr id="19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bookmarkEnd w:id="229"/>
      <w:bookmarkEnd w:id="230"/>
      <w:bookmarkEnd w:id="231"/>
    </w:p>
    <w:p w:rsidR="002D6D7E" w:rsidRPr="002D6D7E" w:rsidRDefault="00FB382F" w:rsidP="00F403F4">
      <w:pPr>
        <w:pStyle w:val="Heading3"/>
        <w:spacing w:before="0" w:line="240" w:lineRule="auto"/>
        <w:rPr>
          <w:rFonts w:eastAsia="Times New Roman"/>
          <w:lang w:val="en-GB" w:eastAsia="en-US"/>
        </w:rPr>
      </w:pPr>
      <w:bookmarkStart w:id="232" w:name="_Toc489345799"/>
      <w:bookmarkStart w:id="233" w:name="_Toc489346004"/>
      <w:bookmarkStart w:id="234" w:name="_Toc489537745"/>
      <w:r>
        <w:rPr>
          <w:rFonts w:eastAsia="Times New Roman"/>
          <w:b/>
          <w:lang w:val="en-GB" w:eastAsia="en-US"/>
        </w:rPr>
        <w:t>Figure 29</w:t>
      </w:r>
      <w:r w:rsidR="002D6D7E" w:rsidRPr="002D6D7E">
        <w:rPr>
          <w:rFonts w:eastAsia="Times New Roman"/>
          <w:lang w:val="en-GB" w:eastAsia="en-US"/>
        </w:rPr>
        <w:t>: Groundnuts consumption</w:t>
      </w:r>
      <w:bookmarkEnd w:id="232"/>
      <w:bookmarkEnd w:id="233"/>
      <w:bookmarkEnd w:id="234"/>
    </w:p>
    <w:p w:rsidR="002D6D7E" w:rsidRPr="00FB382F" w:rsidRDefault="002D6D7E" w:rsidP="00FB382F">
      <w:pPr>
        <w:rPr>
          <w:rFonts w:eastAsia="Times New Roman" w:cs="Arial"/>
          <w:szCs w:val="18"/>
          <w:lang w:val="en-GB" w:eastAsia="en-US"/>
        </w:rPr>
      </w:pPr>
      <w:bookmarkStart w:id="235" w:name="_Toc489345800"/>
      <w:bookmarkStart w:id="236" w:name="_Toc489346005"/>
      <w:r w:rsidRPr="00FB382F">
        <w:rPr>
          <w:rFonts w:eastAsia="Times New Roman" w:cs="Arial"/>
          <w:noProof/>
          <w:szCs w:val="18"/>
        </w:rPr>
        <w:t>Source: Sagis</w:t>
      </w:r>
      <w:bookmarkEnd w:id="235"/>
      <w:bookmarkEnd w:id="236"/>
    </w:p>
    <w:p w:rsidR="00C075CC" w:rsidRDefault="00C075CC" w:rsidP="002D6D7E">
      <w:pPr>
        <w:spacing w:after="0" w:line="360" w:lineRule="auto"/>
        <w:jc w:val="both"/>
        <w:outlineLvl w:val="0"/>
        <w:rPr>
          <w:rFonts w:eastAsia="Times New Roman" w:cs="Arial"/>
          <w:sz w:val="24"/>
          <w:szCs w:val="24"/>
          <w:shd w:val="clear" w:color="auto" w:fill="FFFFFF"/>
          <w:lang w:val="en-GB" w:eastAsia="en-US"/>
        </w:rPr>
      </w:pPr>
    </w:p>
    <w:p w:rsidR="002D6D7E" w:rsidRPr="002D6D7E" w:rsidRDefault="002D6D7E" w:rsidP="002D6D7E">
      <w:pPr>
        <w:spacing w:after="0" w:line="360" w:lineRule="auto"/>
        <w:jc w:val="both"/>
        <w:outlineLvl w:val="0"/>
        <w:rPr>
          <w:rFonts w:eastAsia="Times New Roman" w:cs="Arial"/>
          <w:sz w:val="24"/>
          <w:szCs w:val="24"/>
          <w:shd w:val="clear" w:color="auto" w:fill="FFFFFF"/>
          <w:lang w:val="en-GB" w:eastAsia="en-US"/>
        </w:rPr>
      </w:pPr>
      <w:bookmarkStart w:id="237" w:name="_Toc489345801"/>
      <w:bookmarkStart w:id="238" w:name="_Toc489346006"/>
      <w:bookmarkStart w:id="239" w:name="_Toc489537746"/>
      <w:r w:rsidRPr="002D6D7E">
        <w:rPr>
          <w:rFonts w:eastAsia="Times New Roman" w:cs="Arial"/>
          <w:sz w:val="24"/>
          <w:szCs w:val="24"/>
          <w:shd w:val="clear" w:color="auto" w:fill="FFFFFF"/>
          <w:lang w:val="en-GB" w:eastAsia="en-US"/>
        </w:rPr>
        <w:t>Consumption levels in the edible groundnut market remained volatile over the period first quarter of 2016 and the first quarter 2017. Between the first of 2016 and the first quarter of 2017, consumption levels in the edible groundnut market moved from 6503 in the first quarter of 2016, increased to 7 007 tons in the second quarter and decreased to 6267 tons in the third quarter. From the fourth quarter of 2016 to the first quarter of 2017, consumption levels in the edible groundnut market decreased by 16%, from 7727 tons to 6503 tons. Consumption levels of peanut butter remained volatile over the period first quarter of 2016 and the first quarter 2017. Between the first quarter and the third quarter of 2016, consumption levels of peanut butter increased by 24%, from 6846 tons in the first quarter of 2016 to 8523 tons in the third quarter of 2016. From the fourth quarter of 2016 to the first quarter of 2017, consumption of peanut butter decreased by 0</w:t>
      </w:r>
      <w:proofErr w:type="gramStart"/>
      <w:r w:rsidR="00E63B52">
        <w:rPr>
          <w:rFonts w:eastAsia="Times New Roman" w:cs="Arial"/>
          <w:sz w:val="24"/>
          <w:szCs w:val="24"/>
          <w:shd w:val="clear" w:color="auto" w:fill="FFFFFF"/>
          <w:lang w:val="en-GB" w:eastAsia="en-US"/>
        </w:rPr>
        <w:t>,</w:t>
      </w:r>
      <w:r w:rsidRPr="002D6D7E">
        <w:rPr>
          <w:rFonts w:eastAsia="Times New Roman" w:cs="Arial"/>
          <w:sz w:val="24"/>
          <w:szCs w:val="24"/>
          <w:shd w:val="clear" w:color="auto" w:fill="FFFFFF"/>
          <w:lang w:val="en-GB" w:eastAsia="en-US"/>
        </w:rPr>
        <w:t>6</w:t>
      </w:r>
      <w:proofErr w:type="gramEnd"/>
      <w:r w:rsidRPr="002D6D7E">
        <w:rPr>
          <w:rFonts w:eastAsia="Times New Roman" w:cs="Arial"/>
          <w:sz w:val="24"/>
          <w:szCs w:val="24"/>
          <w:shd w:val="clear" w:color="auto" w:fill="FFFFFF"/>
          <w:lang w:val="en-GB" w:eastAsia="en-US"/>
        </w:rPr>
        <w:t>%, from 8 161 tons in fourth quarter of 2016 to 8 116 tons in the first quarter of 2017. Consumption levels of crushed oil remained volatile between first quarter of 2016 and the first quarter of 2017. In the first quarter of 2016, consumption levels of groundnut reached 204 tons, increased to 284 tons in the second quarter</w:t>
      </w:r>
      <w:r w:rsidR="00E63B52">
        <w:rPr>
          <w:rFonts w:eastAsia="Times New Roman" w:cs="Arial"/>
          <w:sz w:val="24"/>
          <w:szCs w:val="24"/>
          <w:shd w:val="clear" w:color="auto" w:fill="FFFFFF"/>
          <w:lang w:val="en-GB" w:eastAsia="en-US"/>
        </w:rPr>
        <w:t>,</w:t>
      </w:r>
      <w:r w:rsidRPr="002D6D7E">
        <w:rPr>
          <w:rFonts w:eastAsia="Times New Roman" w:cs="Arial"/>
          <w:sz w:val="24"/>
          <w:szCs w:val="24"/>
          <w:shd w:val="clear" w:color="auto" w:fill="FFFFFF"/>
          <w:lang w:val="en-GB" w:eastAsia="en-US"/>
        </w:rPr>
        <w:t xml:space="preserve"> however</w:t>
      </w:r>
      <w:r w:rsidR="00E63B52">
        <w:rPr>
          <w:rFonts w:eastAsia="Times New Roman" w:cs="Arial"/>
          <w:sz w:val="24"/>
          <w:szCs w:val="24"/>
          <w:shd w:val="clear" w:color="auto" w:fill="FFFFFF"/>
          <w:lang w:val="en-GB" w:eastAsia="en-US"/>
        </w:rPr>
        <w:t>,</w:t>
      </w:r>
      <w:r w:rsidRPr="002D6D7E">
        <w:rPr>
          <w:rFonts w:eastAsia="Times New Roman" w:cs="Arial"/>
          <w:sz w:val="24"/>
          <w:szCs w:val="24"/>
          <w:shd w:val="clear" w:color="auto" w:fill="FFFFFF"/>
          <w:lang w:val="en-GB" w:eastAsia="en-US"/>
        </w:rPr>
        <w:t xml:space="preserve"> decreased to 65 tons in the third quarter of 2016. Between the fourth </w:t>
      </w:r>
      <w:proofErr w:type="gramStart"/>
      <w:r w:rsidRPr="002D6D7E">
        <w:rPr>
          <w:rFonts w:eastAsia="Times New Roman" w:cs="Arial"/>
          <w:sz w:val="24"/>
          <w:szCs w:val="24"/>
          <w:shd w:val="clear" w:color="auto" w:fill="FFFFFF"/>
          <w:lang w:val="en-GB" w:eastAsia="en-US"/>
        </w:rPr>
        <w:t>quarter</w:t>
      </w:r>
      <w:proofErr w:type="gramEnd"/>
      <w:r w:rsidRPr="002D6D7E">
        <w:rPr>
          <w:rFonts w:eastAsia="Times New Roman" w:cs="Arial"/>
          <w:sz w:val="24"/>
          <w:szCs w:val="24"/>
          <w:shd w:val="clear" w:color="auto" w:fill="FFFFFF"/>
          <w:lang w:val="en-GB" w:eastAsia="en-US"/>
        </w:rPr>
        <w:t xml:space="preserve"> of 2016 to the first quarter of 2017, consumption levels of crushed oil and cake increased by 25%, from 181 tons to 227 tons over the period</w:t>
      </w:r>
      <w:r w:rsidR="00E90958">
        <w:rPr>
          <w:rFonts w:eastAsia="Times New Roman" w:cs="Arial"/>
          <w:sz w:val="24"/>
          <w:szCs w:val="24"/>
          <w:shd w:val="clear" w:color="auto" w:fill="FFFFFF"/>
          <w:lang w:val="en-GB" w:eastAsia="en-US"/>
        </w:rPr>
        <w:t xml:space="preserve"> see Figure 29</w:t>
      </w:r>
      <w:r w:rsidRPr="002D6D7E">
        <w:rPr>
          <w:rFonts w:eastAsia="Times New Roman" w:cs="Arial"/>
          <w:sz w:val="24"/>
          <w:szCs w:val="24"/>
          <w:shd w:val="clear" w:color="auto" w:fill="FFFFFF"/>
          <w:lang w:val="en-GB" w:eastAsia="en-US"/>
        </w:rPr>
        <w:t>.</w:t>
      </w:r>
      <w:bookmarkEnd w:id="237"/>
      <w:bookmarkEnd w:id="238"/>
      <w:bookmarkEnd w:id="239"/>
      <w:r w:rsidRPr="002D6D7E">
        <w:rPr>
          <w:rFonts w:eastAsia="Times New Roman" w:cs="Arial"/>
          <w:sz w:val="24"/>
          <w:szCs w:val="24"/>
          <w:shd w:val="clear" w:color="auto" w:fill="FFFFFF"/>
          <w:lang w:val="en-GB" w:eastAsia="en-US"/>
        </w:rPr>
        <w:t xml:space="preserve">  </w:t>
      </w:r>
    </w:p>
    <w:p w:rsidR="002D6D7E" w:rsidRPr="002D6D7E" w:rsidRDefault="002D6D7E" w:rsidP="002D6D7E">
      <w:pPr>
        <w:spacing w:after="0" w:line="360" w:lineRule="auto"/>
        <w:jc w:val="both"/>
        <w:outlineLvl w:val="0"/>
        <w:rPr>
          <w:rFonts w:eastAsia="Times New Roman" w:cs="Arial"/>
          <w:sz w:val="24"/>
          <w:szCs w:val="24"/>
          <w:shd w:val="clear" w:color="auto" w:fill="FFFFFF"/>
          <w:lang w:val="en-GB" w:eastAsia="en-US"/>
        </w:rPr>
      </w:pPr>
      <w:r w:rsidRPr="002D6D7E">
        <w:rPr>
          <w:rFonts w:eastAsia="Times New Roman" w:cs="Arial"/>
          <w:sz w:val="24"/>
          <w:szCs w:val="24"/>
          <w:shd w:val="clear" w:color="auto" w:fill="FFFFFF"/>
          <w:lang w:val="en-GB" w:eastAsia="en-US"/>
        </w:rPr>
        <w:t xml:space="preserve"> </w:t>
      </w:r>
    </w:p>
    <w:p w:rsidR="002D6D7E" w:rsidRPr="002D6D7E" w:rsidRDefault="002D6D7E" w:rsidP="002D6D7E">
      <w:pPr>
        <w:spacing w:after="0" w:line="360" w:lineRule="auto"/>
        <w:jc w:val="both"/>
        <w:outlineLvl w:val="0"/>
        <w:rPr>
          <w:rFonts w:ascii="Times New Roman" w:eastAsia="Times New Roman" w:hAnsi="Times New Roman" w:cs="Times New Roman"/>
          <w:sz w:val="24"/>
          <w:szCs w:val="24"/>
          <w:lang w:val="en-GB" w:eastAsia="en-US"/>
        </w:rPr>
      </w:pPr>
    </w:p>
    <w:p w:rsidR="002D6D7E" w:rsidRPr="002D6D7E" w:rsidRDefault="002D6D7E" w:rsidP="00C075CC">
      <w:pPr>
        <w:spacing w:after="0" w:line="240" w:lineRule="auto"/>
        <w:jc w:val="both"/>
        <w:outlineLvl w:val="0"/>
        <w:rPr>
          <w:rFonts w:ascii="Times New Roman" w:eastAsia="Times New Roman" w:hAnsi="Times New Roman" w:cs="Times New Roman"/>
          <w:sz w:val="24"/>
          <w:szCs w:val="24"/>
          <w:lang w:val="en-GB" w:eastAsia="en-US"/>
        </w:rPr>
      </w:pPr>
      <w:bookmarkStart w:id="240" w:name="_Toc489345802"/>
      <w:bookmarkStart w:id="241" w:name="_Toc489346007"/>
      <w:bookmarkStart w:id="242" w:name="_Toc489537747"/>
      <w:r w:rsidRPr="002D6D7E">
        <w:rPr>
          <w:rFonts w:ascii="Times New Roman" w:eastAsia="Times New Roman" w:hAnsi="Times New Roman" w:cs="Times New Roman"/>
          <w:noProof/>
          <w:sz w:val="24"/>
          <w:szCs w:val="24"/>
        </w:rPr>
        <w:drawing>
          <wp:inline distT="0" distB="0" distL="0" distR="0" wp14:anchorId="5D6CC14D" wp14:editId="30409977">
            <wp:extent cx="5172075" cy="2743200"/>
            <wp:effectExtent l="19050" t="0" r="9525" b="0"/>
            <wp:docPr id="19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End w:id="240"/>
      <w:bookmarkEnd w:id="241"/>
      <w:bookmarkEnd w:id="242"/>
    </w:p>
    <w:p w:rsidR="002D6D7E" w:rsidRPr="002D6D7E" w:rsidRDefault="002D6D7E" w:rsidP="00F403F4">
      <w:pPr>
        <w:pStyle w:val="Heading3"/>
        <w:spacing w:before="0" w:line="240" w:lineRule="auto"/>
        <w:rPr>
          <w:rFonts w:eastAsia="Times New Roman"/>
          <w:noProof/>
        </w:rPr>
      </w:pPr>
      <w:bookmarkStart w:id="243" w:name="_Toc489345803"/>
      <w:bookmarkStart w:id="244" w:name="_Toc489346008"/>
      <w:bookmarkStart w:id="245" w:name="_Toc489537748"/>
      <w:r w:rsidRPr="002D6D7E">
        <w:rPr>
          <w:rFonts w:eastAsia="Times New Roman"/>
          <w:b/>
          <w:noProof/>
        </w:rPr>
        <w:t xml:space="preserve">Figure </w:t>
      </w:r>
      <w:r w:rsidR="00FB382F">
        <w:rPr>
          <w:rFonts w:eastAsia="Times New Roman"/>
          <w:b/>
          <w:noProof/>
        </w:rPr>
        <w:t>30</w:t>
      </w:r>
      <w:r w:rsidRPr="002D6D7E">
        <w:rPr>
          <w:rFonts w:eastAsia="Times New Roman"/>
          <w:noProof/>
        </w:rPr>
        <w:t>: Oilseed products</w:t>
      </w:r>
      <w:bookmarkEnd w:id="243"/>
      <w:bookmarkEnd w:id="244"/>
      <w:bookmarkEnd w:id="245"/>
    </w:p>
    <w:p w:rsidR="002D6D7E" w:rsidRPr="00FB382F" w:rsidRDefault="002D6D7E" w:rsidP="00FB382F">
      <w:pPr>
        <w:rPr>
          <w:rFonts w:eastAsia="Times New Roman" w:cs="Arial"/>
          <w:szCs w:val="18"/>
          <w:lang w:val="en-GB" w:eastAsia="en-US"/>
        </w:rPr>
      </w:pPr>
      <w:bookmarkStart w:id="246" w:name="_Toc489345804"/>
      <w:bookmarkStart w:id="247" w:name="_Toc489346009"/>
      <w:r w:rsidRPr="00FB382F">
        <w:rPr>
          <w:rFonts w:eastAsia="Times New Roman" w:cs="Arial"/>
          <w:noProof/>
          <w:szCs w:val="18"/>
        </w:rPr>
        <w:t>Source: Stats SA</w:t>
      </w:r>
      <w:bookmarkEnd w:id="246"/>
      <w:bookmarkEnd w:id="247"/>
    </w:p>
    <w:p w:rsidR="002D6D7E" w:rsidRPr="002D6D7E" w:rsidRDefault="002D6D7E" w:rsidP="002D6D7E">
      <w:pPr>
        <w:spacing w:after="0" w:line="360" w:lineRule="auto"/>
        <w:jc w:val="both"/>
        <w:outlineLvl w:val="0"/>
        <w:rPr>
          <w:rFonts w:eastAsia="Times New Roman" w:cs="Arial"/>
          <w:color w:val="000000" w:themeColor="text1"/>
          <w:sz w:val="24"/>
          <w:szCs w:val="24"/>
          <w:lang w:val="en-GB" w:eastAsia="en-US"/>
        </w:rPr>
      </w:pPr>
      <w:bookmarkStart w:id="248" w:name="_Toc489345805"/>
      <w:bookmarkStart w:id="249" w:name="_Toc489346010"/>
      <w:bookmarkStart w:id="250" w:name="_Toc489537749"/>
      <w:r>
        <w:rPr>
          <w:rFonts w:eastAsia="Times New Roman" w:cs="Arial"/>
          <w:sz w:val="24"/>
          <w:szCs w:val="24"/>
          <w:shd w:val="clear" w:color="auto" w:fill="FFFFFF"/>
          <w:lang w:val="en-GB" w:eastAsia="en-US"/>
        </w:rPr>
        <w:t xml:space="preserve">Figure </w:t>
      </w:r>
      <w:r w:rsidR="00FB382F">
        <w:rPr>
          <w:rFonts w:eastAsia="Times New Roman" w:cs="Arial"/>
          <w:sz w:val="24"/>
          <w:szCs w:val="24"/>
          <w:shd w:val="clear" w:color="auto" w:fill="FFFFFF"/>
          <w:lang w:val="en-GB" w:eastAsia="en-US"/>
        </w:rPr>
        <w:t>30</w:t>
      </w:r>
      <w:r w:rsidRPr="002D6D7E">
        <w:rPr>
          <w:rFonts w:eastAsia="Times New Roman" w:cs="Arial"/>
          <w:sz w:val="24"/>
          <w:szCs w:val="24"/>
          <w:shd w:val="clear" w:color="auto" w:fill="FFFFFF"/>
          <w:lang w:val="en-GB" w:eastAsia="en-US"/>
        </w:rPr>
        <w:t xml:space="preserve"> shows retail prices of oilseed products between January 2015 and March 2017.</w:t>
      </w:r>
      <w:r w:rsidRPr="002D6D7E">
        <w:rPr>
          <w:rFonts w:ascii="Times New Roman" w:eastAsia="Times New Roman" w:hAnsi="Times New Roman" w:cs="Times New Roman"/>
          <w:sz w:val="24"/>
          <w:szCs w:val="24"/>
          <w:lang w:val="en-GB" w:eastAsia="en-US"/>
        </w:rPr>
        <w:t xml:space="preserve"> </w:t>
      </w:r>
      <w:r w:rsidRPr="002D6D7E">
        <w:rPr>
          <w:rFonts w:eastAsia="Times New Roman" w:cs="Arial"/>
          <w:sz w:val="24"/>
          <w:szCs w:val="24"/>
          <w:shd w:val="clear" w:color="auto" w:fill="FFFFFF"/>
          <w:lang w:val="en-GB" w:eastAsia="en-US"/>
        </w:rPr>
        <w:t>Market prices for peanut butter remained volatile between January 2015 and March 2017</w:t>
      </w:r>
      <w:r w:rsidR="00E63B52">
        <w:rPr>
          <w:rFonts w:eastAsia="Times New Roman" w:cs="Arial"/>
          <w:sz w:val="24"/>
          <w:szCs w:val="24"/>
          <w:shd w:val="clear" w:color="auto" w:fill="FFFFFF"/>
          <w:lang w:val="en-GB" w:eastAsia="en-US"/>
        </w:rPr>
        <w:t>,</w:t>
      </w:r>
      <w:r w:rsidRPr="002D6D7E">
        <w:rPr>
          <w:rFonts w:eastAsia="Times New Roman" w:cs="Arial"/>
          <w:sz w:val="24"/>
          <w:szCs w:val="24"/>
          <w:shd w:val="clear" w:color="auto" w:fill="FFFFFF"/>
          <w:lang w:val="en-GB" w:eastAsia="en-US"/>
        </w:rPr>
        <w:t xml:space="preserve"> however, displayed an increasing trend over the period. Prices for </w:t>
      </w:r>
      <w:smartTag w:uri="urn:schemas-microsoft-com:office:smarttags" w:element="metricconverter">
        <w:smartTagPr>
          <w:attr w:name="ProductID" w:val="400 gram"/>
        </w:smartTagPr>
        <w:r w:rsidRPr="002D6D7E">
          <w:rPr>
            <w:rFonts w:eastAsia="Times New Roman" w:cs="Arial"/>
            <w:sz w:val="24"/>
            <w:szCs w:val="24"/>
            <w:shd w:val="clear" w:color="auto" w:fill="FFFFFF"/>
            <w:lang w:val="en-GB" w:eastAsia="en-US"/>
          </w:rPr>
          <w:t>400 gram</w:t>
        </w:r>
      </w:smartTag>
      <w:r w:rsidRPr="002D6D7E">
        <w:rPr>
          <w:rFonts w:eastAsia="Times New Roman" w:cs="Arial"/>
          <w:sz w:val="24"/>
          <w:szCs w:val="24"/>
          <w:shd w:val="clear" w:color="auto" w:fill="FFFFFF"/>
          <w:lang w:val="en-GB" w:eastAsia="en-US"/>
        </w:rPr>
        <w:t xml:space="preserve"> peanut butter increased from R22</w:t>
      </w:r>
      <w:proofErr w:type="gramStart"/>
      <w:r w:rsidR="00E63B52">
        <w:rPr>
          <w:rFonts w:eastAsia="Times New Roman" w:cs="Arial"/>
          <w:sz w:val="24"/>
          <w:szCs w:val="24"/>
          <w:shd w:val="clear" w:color="auto" w:fill="FFFFFF"/>
          <w:lang w:val="en-GB" w:eastAsia="en-US"/>
        </w:rPr>
        <w:t>,</w:t>
      </w:r>
      <w:r w:rsidRPr="002D6D7E">
        <w:rPr>
          <w:rFonts w:eastAsia="Times New Roman" w:cs="Arial"/>
          <w:sz w:val="24"/>
          <w:szCs w:val="24"/>
          <w:shd w:val="clear" w:color="auto" w:fill="FFFFFF"/>
          <w:lang w:val="en-GB" w:eastAsia="en-US"/>
        </w:rPr>
        <w:t>21</w:t>
      </w:r>
      <w:proofErr w:type="gramEnd"/>
      <w:r w:rsidRPr="002D6D7E">
        <w:rPr>
          <w:rFonts w:eastAsia="Times New Roman" w:cs="Arial"/>
          <w:sz w:val="24"/>
          <w:szCs w:val="24"/>
          <w:shd w:val="clear" w:color="auto" w:fill="FFFFFF"/>
          <w:lang w:val="en-GB" w:eastAsia="en-US"/>
        </w:rPr>
        <w:t xml:space="preserve"> in January 2016 and peaked at R27</w:t>
      </w:r>
      <w:r w:rsidR="00E63B52">
        <w:rPr>
          <w:rFonts w:eastAsia="Times New Roman" w:cs="Arial"/>
          <w:sz w:val="24"/>
          <w:szCs w:val="24"/>
          <w:shd w:val="clear" w:color="auto" w:fill="FFFFFF"/>
          <w:lang w:val="en-GB" w:eastAsia="en-US"/>
        </w:rPr>
        <w:t>,</w:t>
      </w:r>
      <w:r w:rsidRPr="002D6D7E">
        <w:rPr>
          <w:rFonts w:eastAsia="Times New Roman" w:cs="Arial"/>
          <w:sz w:val="24"/>
          <w:szCs w:val="24"/>
          <w:shd w:val="clear" w:color="auto" w:fill="FFFFFF"/>
          <w:lang w:val="en-GB" w:eastAsia="en-US"/>
        </w:rPr>
        <w:t xml:space="preserve">82 in both November 2016 and March 2017. Between January 2016 and January 2017, the price of </w:t>
      </w:r>
      <w:smartTag w:uri="urn:schemas-microsoft-com:office:smarttags" w:element="metricconverter">
        <w:smartTagPr>
          <w:attr w:name="ProductID" w:val="400 gram"/>
        </w:smartTagPr>
        <w:r w:rsidRPr="002D6D7E">
          <w:rPr>
            <w:rFonts w:eastAsia="Times New Roman" w:cs="Arial"/>
            <w:sz w:val="24"/>
            <w:szCs w:val="24"/>
            <w:shd w:val="clear" w:color="auto" w:fill="FFFFFF"/>
            <w:lang w:val="en-GB" w:eastAsia="en-US"/>
          </w:rPr>
          <w:t>400 gram</w:t>
        </w:r>
      </w:smartTag>
      <w:r w:rsidRPr="002D6D7E">
        <w:rPr>
          <w:rFonts w:eastAsia="Times New Roman" w:cs="Arial"/>
          <w:sz w:val="24"/>
          <w:szCs w:val="24"/>
          <w:shd w:val="clear" w:color="auto" w:fill="FFFFFF"/>
          <w:lang w:val="en-GB" w:eastAsia="en-US"/>
        </w:rPr>
        <w:t xml:space="preserve"> peanut butter increased by 23%, from R22</w:t>
      </w:r>
      <w:proofErr w:type="gramStart"/>
      <w:r w:rsidR="00E63B52">
        <w:rPr>
          <w:rFonts w:eastAsia="Times New Roman" w:cs="Arial"/>
          <w:sz w:val="24"/>
          <w:szCs w:val="24"/>
          <w:shd w:val="clear" w:color="auto" w:fill="FFFFFF"/>
          <w:lang w:val="en-GB" w:eastAsia="en-US"/>
        </w:rPr>
        <w:t>,</w:t>
      </w:r>
      <w:r w:rsidRPr="002D6D7E">
        <w:rPr>
          <w:rFonts w:eastAsia="Times New Roman" w:cs="Arial"/>
          <w:sz w:val="24"/>
          <w:szCs w:val="24"/>
          <w:shd w:val="clear" w:color="auto" w:fill="FFFFFF"/>
          <w:lang w:val="en-GB" w:eastAsia="en-US"/>
        </w:rPr>
        <w:t>21</w:t>
      </w:r>
      <w:proofErr w:type="gramEnd"/>
      <w:r w:rsidRPr="002D6D7E">
        <w:rPr>
          <w:rFonts w:eastAsia="Times New Roman" w:cs="Arial"/>
          <w:sz w:val="24"/>
          <w:szCs w:val="24"/>
          <w:shd w:val="clear" w:color="auto" w:fill="FFFFFF"/>
          <w:lang w:val="en-GB" w:eastAsia="en-US"/>
        </w:rPr>
        <w:t xml:space="preserve"> to R27</w:t>
      </w:r>
      <w:r w:rsidR="00E63B52">
        <w:rPr>
          <w:rFonts w:eastAsia="Times New Roman" w:cs="Arial"/>
          <w:sz w:val="24"/>
          <w:szCs w:val="24"/>
          <w:shd w:val="clear" w:color="auto" w:fill="FFFFFF"/>
          <w:lang w:val="en-GB" w:eastAsia="en-US"/>
        </w:rPr>
        <w:t>,</w:t>
      </w:r>
      <w:r w:rsidRPr="002D6D7E">
        <w:rPr>
          <w:rFonts w:eastAsia="Times New Roman" w:cs="Arial"/>
          <w:sz w:val="24"/>
          <w:szCs w:val="24"/>
          <w:shd w:val="clear" w:color="auto" w:fill="FFFFFF"/>
          <w:lang w:val="en-GB" w:eastAsia="en-US"/>
        </w:rPr>
        <w:t xml:space="preserve">31. Between January and March 2017, the price of </w:t>
      </w:r>
      <w:smartTag w:uri="urn:schemas-microsoft-com:office:smarttags" w:element="metricconverter">
        <w:smartTagPr>
          <w:attr w:name="ProductID" w:val="400 gram"/>
        </w:smartTagPr>
        <w:r w:rsidRPr="002D6D7E">
          <w:rPr>
            <w:rFonts w:eastAsia="Times New Roman" w:cs="Arial"/>
            <w:sz w:val="24"/>
            <w:szCs w:val="24"/>
            <w:shd w:val="clear" w:color="auto" w:fill="FFFFFF"/>
            <w:lang w:val="en-GB" w:eastAsia="en-US"/>
          </w:rPr>
          <w:t>400 gram</w:t>
        </w:r>
      </w:smartTag>
      <w:r w:rsidRPr="002D6D7E">
        <w:rPr>
          <w:rFonts w:eastAsia="Times New Roman" w:cs="Arial"/>
          <w:sz w:val="24"/>
          <w:szCs w:val="24"/>
          <w:shd w:val="clear" w:color="auto" w:fill="FFFFFF"/>
          <w:lang w:val="en-GB" w:eastAsia="en-US"/>
        </w:rPr>
        <w:t xml:space="preserve"> peanut butter increased by 1</w:t>
      </w:r>
      <w:proofErr w:type="gramStart"/>
      <w:r w:rsidR="00E63B52">
        <w:rPr>
          <w:rFonts w:eastAsia="Times New Roman" w:cs="Arial"/>
          <w:sz w:val="24"/>
          <w:szCs w:val="24"/>
          <w:shd w:val="clear" w:color="auto" w:fill="FFFFFF"/>
          <w:lang w:val="en-GB" w:eastAsia="en-US"/>
        </w:rPr>
        <w:t>,</w:t>
      </w:r>
      <w:r w:rsidRPr="002D6D7E">
        <w:rPr>
          <w:rFonts w:eastAsia="Times New Roman" w:cs="Arial"/>
          <w:sz w:val="24"/>
          <w:szCs w:val="24"/>
          <w:shd w:val="clear" w:color="auto" w:fill="FFFFFF"/>
          <w:lang w:val="en-GB" w:eastAsia="en-US"/>
        </w:rPr>
        <w:t>9</w:t>
      </w:r>
      <w:proofErr w:type="gramEnd"/>
      <w:r w:rsidRPr="002D6D7E">
        <w:rPr>
          <w:rFonts w:eastAsia="Times New Roman" w:cs="Arial"/>
          <w:sz w:val="24"/>
          <w:szCs w:val="24"/>
          <w:shd w:val="clear" w:color="auto" w:fill="FFFFFF"/>
          <w:lang w:val="en-GB" w:eastAsia="en-US"/>
        </w:rPr>
        <w:t>%, from R27</w:t>
      </w:r>
      <w:r w:rsidR="00E63B52">
        <w:rPr>
          <w:rFonts w:eastAsia="Times New Roman" w:cs="Arial"/>
          <w:sz w:val="24"/>
          <w:szCs w:val="24"/>
          <w:shd w:val="clear" w:color="auto" w:fill="FFFFFF"/>
          <w:lang w:val="en-GB" w:eastAsia="en-US"/>
        </w:rPr>
        <w:t>,</w:t>
      </w:r>
      <w:r w:rsidRPr="002D6D7E">
        <w:rPr>
          <w:rFonts w:eastAsia="Times New Roman" w:cs="Arial"/>
          <w:sz w:val="24"/>
          <w:szCs w:val="24"/>
          <w:shd w:val="clear" w:color="auto" w:fill="FFFFFF"/>
          <w:lang w:val="en-GB" w:eastAsia="en-US"/>
        </w:rPr>
        <w:t>31 in January to R 27</w:t>
      </w:r>
      <w:r w:rsidR="00E63B52">
        <w:rPr>
          <w:rFonts w:eastAsia="Times New Roman" w:cs="Arial"/>
          <w:sz w:val="24"/>
          <w:szCs w:val="24"/>
          <w:shd w:val="clear" w:color="auto" w:fill="FFFFFF"/>
          <w:lang w:val="en-GB" w:eastAsia="en-US"/>
        </w:rPr>
        <w:t>,</w:t>
      </w:r>
      <w:r w:rsidRPr="002D6D7E">
        <w:rPr>
          <w:rFonts w:eastAsia="Times New Roman" w:cs="Arial"/>
          <w:sz w:val="24"/>
          <w:szCs w:val="24"/>
          <w:shd w:val="clear" w:color="auto" w:fill="FFFFFF"/>
          <w:lang w:val="en-GB" w:eastAsia="en-US"/>
        </w:rPr>
        <w:t xml:space="preserve">82 in March 2017. </w:t>
      </w:r>
      <w:r w:rsidRPr="002D6D7E">
        <w:rPr>
          <w:rFonts w:eastAsia="Times New Roman" w:cs="Arial"/>
          <w:sz w:val="24"/>
          <w:szCs w:val="24"/>
          <w:lang w:val="en-GB" w:eastAsia="en-US"/>
        </w:rPr>
        <w:t xml:space="preserve">When comparing the quarterly growth in the price of </w:t>
      </w:r>
      <w:smartTag w:uri="urn:schemas-microsoft-com:office:smarttags" w:element="metricconverter">
        <w:smartTagPr>
          <w:attr w:name="ProductID" w:val="400 gram"/>
        </w:smartTagPr>
        <w:r w:rsidRPr="002D6D7E">
          <w:rPr>
            <w:rFonts w:eastAsia="Times New Roman" w:cs="Arial"/>
            <w:sz w:val="24"/>
            <w:szCs w:val="24"/>
            <w:lang w:val="en-GB" w:eastAsia="en-US"/>
          </w:rPr>
          <w:t>400 gram</w:t>
        </w:r>
      </w:smartTag>
      <w:r w:rsidRPr="002D6D7E">
        <w:rPr>
          <w:rFonts w:eastAsia="Times New Roman" w:cs="Arial"/>
          <w:sz w:val="24"/>
          <w:szCs w:val="24"/>
          <w:lang w:val="en-GB" w:eastAsia="en-US"/>
        </w:rPr>
        <w:t xml:space="preserve"> peanut butter in first quarter of 2016 compared with the first quarter of 2017, the average price per </w:t>
      </w:r>
      <w:smartTag w:uri="urn:schemas-microsoft-com:office:smarttags" w:element="metricconverter">
        <w:smartTagPr>
          <w:attr w:name="ProductID" w:val="400 gram"/>
        </w:smartTagPr>
        <w:r w:rsidRPr="002D6D7E">
          <w:rPr>
            <w:rFonts w:eastAsia="Times New Roman" w:cs="Arial"/>
            <w:sz w:val="24"/>
            <w:szCs w:val="24"/>
            <w:lang w:val="en-GB" w:eastAsia="en-US"/>
          </w:rPr>
          <w:t>400 gram</w:t>
        </w:r>
      </w:smartTag>
      <w:r w:rsidRPr="002D6D7E">
        <w:rPr>
          <w:rFonts w:eastAsia="Times New Roman" w:cs="Arial"/>
          <w:sz w:val="24"/>
          <w:szCs w:val="24"/>
          <w:lang w:val="en-GB" w:eastAsia="en-US"/>
        </w:rPr>
        <w:t xml:space="preserve"> of peanut butter increased by 22%, trading at R27</w:t>
      </w:r>
      <w:r w:rsidR="00E63B52">
        <w:rPr>
          <w:rFonts w:eastAsia="Times New Roman" w:cs="Arial"/>
          <w:sz w:val="24"/>
          <w:szCs w:val="24"/>
          <w:lang w:val="en-GB" w:eastAsia="en-US"/>
        </w:rPr>
        <w:t>,</w:t>
      </w:r>
      <w:r w:rsidRPr="002D6D7E">
        <w:rPr>
          <w:rFonts w:eastAsia="Times New Roman" w:cs="Arial"/>
          <w:sz w:val="24"/>
          <w:szCs w:val="24"/>
          <w:lang w:val="en-GB" w:eastAsia="en-US"/>
        </w:rPr>
        <w:t>63 in the first quarter of 2017 compared with R22</w:t>
      </w:r>
      <w:r w:rsidR="00E63B52">
        <w:rPr>
          <w:rFonts w:eastAsia="Times New Roman" w:cs="Arial"/>
          <w:sz w:val="24"/>
          <w:szCs w:val="24"/>
          <w:lang w:val="en-GB" w:eastAsia="en-US"/>
        </w:rPr>
        <w:t>,</w:t>
      </w:r>
      <w:r w:rsidRPr="002D6D7E">
        <w:rPr>
          <w:rFonts w:eastAsia="Times New Roman" w:cs="Arial"/>
          <w:sz w:val="24"/>
          <w:szCs w:val="24"/>
          <w:lang w:val="en-GB" w:eastAsia="en-US"/>
        </w:rPr>
        <w:t xml:space="preserve">69/ </w:t>
      </w:r>
      <w:smartTag w:uri="urn:schemas-microsoft-com:office:smarttags" w:element="metricconverter">
        <w:smartTagPr>
          <w:attr w:name="ProductID" w:val="400 gram"/>
        </w:smartTagPr>
        <w:r w:rsidRPr="002D6D7E">
          <w:rPr>
            <w:rFonts w:eastAsia="Times New Roman" w:cs="Arial"/>
            <w:sz w:val="24"/>
            <w:szCs w:val="24"/>
            <w:lang w:val="en-GB" w:eastAsia="en-US"/>
          </w:rPr>
          <w:t>400 gram</w:t>
        </w:r>
      </w:smartTag>
      <w:r w:rsidRPr="002D6D7E">
        <w:rPr>
          <w:rFonts w:eastAsia="Times New Roman" w:cs="Arial"/>
          <w:sz w:val="24"/>
          <w:szCs w:val="24"/>
          <w:lang w:val="en-GB" w:eastAsia="en-US"/>
        </w:rPr>
        <w:t xml:space="preserve"> in the first quarter of 2016. The rise in peanut </w:t>
      </w:r>
      <w:r w:rsidRPr="002D6D7E">
        <w:rPr>
          <w:rFonts w:eastAsia="Times New Roman" w:cs="Arial"/>
          <w:color w:val="000000" w:themeColor="text1"/>
          <w:sz w:val="24"/>
          <w:szCs w:val="24"/>
          <w:lang w:val="en-GB" w:eastAsia="en-US"/>
        </w:rPr>
        <w:t xml:space="preserve">butter prices overtime is as a result of a rise in consumption, implying the South </w:t>
      </w:r>
      <w:r w:rsidRPr="002D6D7E">
        <w:rPr>
          <w:rFonts w:eastAsia="Times New Roman" w:cs="Arial"/>
          <w:color w:val="000000" w:themeColor="text1"/>
          <w:sz w:val="24"/>
          <w:szCs w:val="24"/>
          <w:shd w:val="clear" w:color="auto" w:fill="FFFFFF"/>
          <w:lang w:val="en-GB" w:eastAsia="en-US"/>
        </w:rPr>
        <w:t>African peanut market might need to rely on imports. Furthermore, prices have reacted to this shortfall and expectations are that prices will remain supported in the near term.</w:t>
      </w:r>
      <w:bookmarkEnd w:id="248"/>
      <w:bookmarkEnd w:id="249"/>
      <w:bookmarkEnd w:id="250"/>
    </w:p>
    <w:p w:rsidR="008B091C" w:rsidRPr="008B091C" w:rsidRDefault="008B091C" w:rsidP="008B091C">
      <w:pPr>
        <w:spacing w:after="0" w:line="360" w:lineRule="auto"/>
        <w:jc w:val="both"/>
        <w:rPr>
          <w:rFonts w:cs="Arial"/>
          <w:b/>
        </w:rPr>
      </w:pPr>
    </w:p>
    <w:p w:rsidR="008B091C" w:rsidRPr="008B091C" w:rsidRDefault="008B091C" w:rsidP="00C075CC">
      <w:pPr>
        <w:spacing w:after="0" w:line="240" w:lineRule="auto"/>
        <w:jc w:val="both"/>
        <w:rPr>
          <w:rFonts w:cs="Arial"/>
          <w:b/>
          <w:lang w:val="en-GB"/>
        </w:rPr>
      </w:pPr>
      <w:r w:rsidRPr="008B091C">
        <w:rPr>
          <w:rFonts w:cs="Arial"/>
          <w:b/>
          <w:noProof/>
        </w:rPr>
        <w:drawing>
          <wp:inline distT="0" distB="0" distL="0" distR="0" wp14:anchorId="394C32B0" wp14:editId="3B415637">
            <wp:extent cx="5255288" cy="2692958"/>
            <wp:effectExtent l="0" t="0" r="21590" b="12700"/>
            <wp:docPr id="17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B091C" w:rsidRPr="00014A0B" w:rsidRDefault="008B091C" w:rsidP="00F403F4">
      <w:pPr>
        <w:pStyle w:val="Heading3"/>
        <w:spacing w:before="0" w:line="240" w:lineRule="auto"/>
        <w:rPr>
          <w:lang w:val="en-GB"/>
        </w:rPr>
      </w:pPr>
      <w:bookmarkStart w:id="251" w:name="_Toc489345806"/>
      <w:bookmarkStart w:id="252" w:name="_Toc489346011"/>
      <w:bookmarkStart w:id="253" w:name="_Toc489537750"/>
      <w:r w:rsidRPr="00014A0B">
        <w:rPr>
          <w:b/>
          <w:lang w:val="en-GB"/>
        </w:rPr>
        <w:t xml:space="preserve">Figure </w:t>
      </w:r>
      <w:r w:rsidR="00FB382F">
        <w:rPr>
          <w:b/>
          <w:lang w:val="en-GB"/>
        </w:rPr>
        <w:t>31</w:t>
      </w:r>
      <w:r w:rsidRPr="00014A0B">
        <w:rPr>
          <w:b/>
          <w:lang w:val="en-GB"/>
        </w:rPr>
        <w:t xml:space="preserve">: </w:t>
      </w:r>
      <w:r w:rsidRPr="00014A0B">
        <w:rPr>
          <w:lang w:val="en-GB"/>
        </w:rPr>
        <w:t>Groundnuts exports and imports</w:t>
      </w:r>
      <w:bookmarkEnd w:id="251"/>
      <w:bookmarkEnd w:id="252"/>
      <w:bookmarkEnd w:id="253"/>
    </w:p>
    <w:p w:rsidR="008B091C" w:rsidRPr="00FB382F" w:rsidRDefault="008B091C" w:rsidP="00FB382F">
      <w:pPr>
        <w:rPr>
          <w:rFonts w:cs="Arial"/>
          <w:szCs w:val="18"/>
        </w:rPr>
      </w:pPr>
      <w:bookmarkStart w:id="254" w:name="_Toc489345807"/>
      <w:bookmarkStart w:id="255" w:name="_Toc489346012"/>
      <w:r w:rsidRPr="00FB382F">
        <w:rPr>
          <w:rFonts w:cs="Arial"/>
          <w:szCs w:val="18"/>
        </w:rPr>
        <w:t xml:space="preserve">Source: </w:t>
      </w:r>
      <w:proofErr w:type="spellStart"/>
      <w:r w:rsidRPr="00FB382F">
        <w:rPr>
          <w:rFonts w:cs="Arial"/>
          <w:szCs w:val="18"/>
        </w:rPr>
        <w:t>Sagis</w:t>
      </w:r>
      <w:bookmarkEnd w:id="254"/>
      <w:bookmarkEnd w:id="255"/>
      <w:proofErr w:type="spellEnd"/>
    </w:p>
    <w:p w:rsidR="008B091C" w:rsidRPr="008B091C" w:rsidRDefault="008B091C" w:rsidP="008B091C">
      <w:pPr>
        <w:spacing w:after="0" w:line="360" w:lineRule="auto"/>
        <w:jc w:val="both"/>
        <w:rPr>
          <w:rFonts w:cs="Arial"/>
          <w:b/>
        </w:rPr>
      </w:pPr>
    </w:p>
    <w:p w:rsidR="008B091C" w:rsidRPr="00F403F4" w:rsidRDefault="008B091C" w:rsidP="008B091C">
      <w:pPr>
        <w:spacing w:after="0" w:line="360" w:lineRule="auto"/>
        <w:jc w:val="both"/>
        <w:rPr>
          <w:rFonts w:cs="Arial"/>
          <w:sz w:val="24"/>
          <w:szCs w:val="24"/>
        </w:rPr>
      </w:pPr>
      <w:r w:rsidRPr="00F403F4">
        <w:rPr>
          <w:rFonts w:cs="Arial"/>
          <w:sz w:val="24"/>
          <w:szCs w:val="24"/>
        </w:rPr>
        <w:t xml:space="preserve">Over the period January 2015 and January 2017, exports of groundnuts displayed a decreasing trend. Between the first quarter of 2016 and the first quarter of 2017, exports of groundnuts have been on the decline, decreasing by 87%, from 4 263 tons in the first quarter of 2016 to 565 tons in the second quarter of 2017, see figure 31. The greatest challenge facing the groundnut industry is to re-establish South Africa as a relevant role-player in the international market. On the contrary, imports of groundnuts displayed an increasing trend over the period January 2015 and December 2016. Between the first quarter of 2016 and the first quarter of 2017, imports of groundnuts, were </w:t>
      </w:r>
      <w:proofErr w:type="gramStart"/>
      <w:r w:rsidRPr="00F403F4">
        <w:rPr>
          <w:rFonts w:cs="Arial"/>
          <w:sz w:val="24"/>
          <w:szCs w:val="24"/>
        </w:rPr>
        <w:t xml:space="preserve">volatile </w:t>
      </w:r>
      <w:r w:rsidR="00E63B52">
        <w:rPr>
          <w:rFonts w:cs="Arial"/>
          <w:sz w:val="24"/>
          <w:szCs w:val="24"/>
        </w:rPr>
        <w:t>,</w:t>
      </w:r>
      <w:r w:rsidRPr="00F403F4">
        <w:rPr>
          <w:rFonts w:cs="Arial"/>
          <w:sz w:val="24"/>
          <w:szCs w:val="24"/>
        </w:rPr>
        <w:t>however</w:t>
      </w:r>
      <w:proofErr w:type="gramEnd"/>
      <w:r w:rsidR="00E63B52">
        <w:rPr>
          <w:rFonts w:cs="Arial"/>
          <w:sz w:val="24"/>
          <w:szCs w:val="24"/>
        </w:rPr>
        <w:t>,</w:t>
      </w:r>
      <w:r w:rsidRPr="00F403F4">
        <w:rPr>
          <w:rFonts w:cs="Arial"/>
          <w:sz w:val="24"/>
          <w:szCs w:val="24"/>
        </w:rPr>
        <w:t xml:space="preserve"> increased by 89%, from to 7 518 tons to 14 196 tons over the period. South African groundnut producers can earn a healthy premium from locally produced groundnut if local production can be stimulated to levels where it meets local demand. According to the South African Groundnut Forum (SAGF), strategies are being put in place.  </w:t>
      </w:r>
    </w:p>
    <w:p w:rsidR="008B091C" w:rsidRDefault="008B091C" w:rsidP="008B091C">
      <w:pPr>
        <w:spacing w:after="0" w:line="360" w:lineRule="auto"/>
        <w:jc w:val="both"/>
        <w:rPr>
          <w:rFonts w:cs="Arial"/>
          <w:b/>
          <w:lang w:val="en-GB"/>
        </w:rPr>
      </w:pPr>
    </w:p>
    <w:p w:rsidR="00A22959" w:rsidRDefault="00A22959" w:rsidP="008B091C">
      <w:pPr>
        <w:spacing w:after="0" w:line="360" w:lineRule="auto"/>
        <w:jc w:val="both"/>
        <w:rPr>
          <w:rFonts w:cs="Arial"/>
          <w:b/>
          <w:lang w:val="en-GB"/>
        </w:rPr>
      </w:pPr>
    </w:p>
    <w:p w:rsidR="00A22959" w:rsidRDefault="00A22959" w:rsidP="008B091C">
      <w:pPr>
        <w:spacing w:after="0" w:line="360" w:lineRule="auto"/>
        <w:jc w:val="both"/>
        <w:rPr>
          <w:rFonts w:cs="Arial"/>
          <w:b/>
          <w:lang w:val="en-GB"/>
        </w:rPr>
      </w:pPr>
    </w:p>
    <w:p w:rsidR="00A22959" w:rsidRDefault="00A22959" w:rsidP="008B091C">
      <w:pPr>
        <w:spacing w:after="0" w:line="360" w:lineRule="auto"/>
        <w:jc w:val="both"/>
        <w:rPr>
          <w:rFonts w:cs="Arial"/>
          <w:b/>
          <w:lang w:val="en-GB"/>
        </w:rPr>
      </w:pPr>
    </w:p>
    <w:p w:rsidR="00A22959" w:rsidRDefault="00A22959" w:rsidP="008B091C">
      <w:pPr>
        <w:spacing w:after="0" w:line="360" w:lineRule="auto"/>
        <w:jc w:val="both"/>
        <w:rPr>
          <w:rFonts w:cs="Arial"/>
          <w:b/>
          <w:lang w:val="en-GB"/>
        </w:rPr>
      </w:pPr>
    </w:p>
    <w:p w:rsidR="00A22959" w:rsidRDefault="00A22959" w:rsidP="008B091C">
      <w:pPr>
        <w:spacing w:after="0" w:line="360" w:lineRule="auto"/>
        <w:jc w:val="both"/>
        <w:rPr>
          <w:rFonts w:cs="Arial"/>
          <w:b/>
          <w:lang w:val="en-GB"/>
        </w:rPr>
      </w:pPr>
    </w:p>
    <w:p w:rsidR="00A22959" w:rsidRDefault="00A22959" w:rsidP="008B091C">
      <w:pPr>
        <w:spacing w:after="0" w:line="360" w:lineRule="auto"/>
        <w:jc w:val="both"/>
        <w:rPr>
          <w:rFonts w:cs="Arial"/>
          <w:b/>
          <w:lang w:val="en-GB"/>
        </w:rPr>
      </w:pPr>
    </w:p>
    <w:p w:rsidR="00A22959" w:rsidRDefault="00A22959" w:rsidP="008B091C">
      <w:pPr>
        <w:spacing w:after="0" w:line="360" w:lineRule="auto"/>
        <w:jc w:val="both"/>
        <w:rPr>
          <w:rFonts w:cs="Arial"/>
          <w:b/>
          <w:lang w:val="en-GB"/>
        </w:rPr>
      </w:pPr>
    </w:p>
    <w:p w:rsidR="00C075CC" w:rsidRDefault="00C075CC" w:rsidP="008B091C">
      <w:pPr>
        <w:spacing w:after="0" w:line="360" w:lineRule="auto"/>
        <w:jc w:val="both"/>
        <w:rPr>
          <w:rFonts w:cs="Arial"/>
          <w:b/>
          <w:lang w:val="en-GB"/>
        </w:rPr>
      </w:pPr>
    </w:p>
    <w:p w:rsidR="00874800" w:rsidRPr="00F403F4" w:rsidRDefault="00874800" w:rsidP="00BF41F5">
      <w:pPr>
        <w:pStyle w:val="Heading2"/>
        <w:spacing w:line="360" w:lineRule="auto"/>
        <w:jc w:val="both"/>
        <w:rPr>
          <w:rFonts w:eastAsia="Calibri"/>
          <w:szCs w:val="24"/>
          <w:lang w:val="en-US" w:eastAsia="en-US"/>
        </w:rPr>
      </w:pPr>
      <w:bookmarkStart w:id="256" w:name="_Toc489345808"/>
      <w:bookmarkStart w:id="257" w:name="_Toc489346013"/>
      <w:bookmarkStart w:id="258" w:name="_Toc489537751"/>
      <w:r w:rsidRPr="00F403F4">
        <w:rPr>
          <w:rFonts w:eastAsia="Calibri"/>
          <w:szCs w:val="24"/>
          <w:lang w:val="en-US" w:eastAsia="en-US"/>
        </w:rPr>
        <w:t xml:space="preserve">3.1.7 </w:t>
      </w:r>
      <w:proofErr w:type="spellStart"/>
      <w:r w:rsidRPr="00F403F4">
        <w:rPr>
          <w:rFonts w:eastAsia="Calibri"/>
          <w:szCs w:val="24"/>
          <w:lang w:val="en-US" w:eastAsia="en-US"/>
        </w:rPr>
        <w:t>Drybeans</w:t>
      </w:r>
      <w:bookmarkEnd w:id="256"/>
      <w:bookmarkEnd w:id="257"/>
      <w:bookmarkEnd w:id="258"/>
      <w:proofErr w:type="spellEnd"/>
    </w:p>
    <w:p w:rsidR="00874800" w:rsidRPr="00F403F4" w:rsidRDefault="00874800" w:rsidP="00BF41F5">
      <w:pPr>
        <w:spacing w:line="360" w:lineRule="auto"/>
        <w:jc w:val="both"/>
        <w:rPr>
          <w:rFonts w:eastAsia="Calibri" w:cs="Arial"/>
          <w:sz w:val="24"/>
          <w:szCs w:val="24"/>
          <w:u w:val="single"/>
          <w:lang w:val="en-US" w:eastAsia="en-US"/>
        </w:rPr>
      </w:pPr>
      <w:r w:rsidRPr="00F403F4">
        <w:rPr>
          <w:rFonts w:eastAsia="Calibri" w:cs="Arial"/>
          <w:sz w:val="24"/>
          <w:szCs w:val="24"/>
          <w:lang w:val="en-US" w:eastAsia="en-US"/>
        </w:rPr>
        <w:t xml:space="preserve">The supply of Dry beans increased by 31% from 94 000 tons in 2016 to 136 000 tons in 2017.  The increase was due to 47% increase in production and a 5% increase in imports and exports dropped by 147% from 7 000tons in 2016 to 3 000 tons in 2017.  Between 2006 and 2017 40% </w:t>
      </w:r>
      <w:r w:rsidR="00E63B52">
        <w:rPr>
          <w:rFonts w:eastAsia="Calibri" w:cs="Arial"/>
          <w:sz w:val="24"/>
          <w:szCs w:val="24"/>
          <w:lang w:val="en-US" w:eastAsia="en-US"/>
        </w:rPr>
        <w:t>to</w:t>
      </w:r>
      <w:r w:rsidRPr="00F403F4">
        <w:rPr>
          <w:rFonts w:eastAsia="Calibri" w:cs="Arial"/>
          <w:sz w:val="24"/>
          <w:szCs w:val="24"/>
          <w:lang w:val="en-US" w:eastAsia="en-US"/>
        </w:rPr>
        <w:t xml:space="preserve"> 60% of all dry beans are imported making RSA very dependent on global markets.  Import prices are greatly dependent on weather conditions in countries where dry beans are </w:t>
      </w:r>
      <w:proofErr w:type="spellStart"/>
      <w:r w:rsidRPr="00F403F4">
        <w:rPr>
          <w:rFonts w:eastAsia="Calibri" w:cs="Arial"/>
          <w:sz w:val="24"/>
          <w:szCs w:val="24"/>
          <w:lang w:val="en-US" w:eastAsia="en-US"/>
        </w:rPr>
        <w:t>produced.The</w:t>
      </w:r>
      <w:proofErr w:type="spellEnd"/>
      <w:r w:rsidRPr="00F403F4">
        <w:rPr>
          <w:rFonts w:eastAsia="Calibri" w:cs="Arial"/>
          <w:sz w:val="24"/>
          <w:szCs w:val="24"/>
          <w:lang w:val="en-US" w:eastAsia="en-US"/>
        </w:rPr>
        <w:t xml:space="preserve"> worldwide production fluctuates therefore the dollar price also fluctuates. RSA import prices are determined by the import parity prices of </w:t>
      </w:r>
      <w:proofErr w:type="spellStart"/>
      <w:r w:rsidRPr="00F403F4">
        <w:rPr>
          <w:rFonts w:eastAsia="Calibri" w:cs="Arial"/>
          <w:sz w:val="24"/>
          <w:szCs w:val="24"/>
          <w:lang w:val="en-US" w:eastAsia="en-US"/>
        </w:rPr>
        <w:t>China</w:t>
      </w:r>
      <w:proofErr w:type="gramStart"/>
      <w:r w:rsidR="00E90958">
        <w:rPr>
          <w:rFonts w:eastAsia="Calibri" w:cs="Arial"/>
          <w:sz w:val="24"/>
          <w:szCs w:val="24"/>
          <w:lang w:val="en-US" w:eastAsia="en-US"/>
        </w:rPr>
        <w:t>,See</w:t>
      </w:r>
      <w:proofErr w:type="spellEnd"/>
      <w:proofErr w:type="gramEnd"/>
      <w:r w:rsidR="00E90958">
        <w:rPr>
          <w:rFonts w:eastAsia="Calibri" w:cs="Arial"/>
          <w:sz w:val="24"/>
          <w:szCs w:val="24"/>
          <w:lang w:val="en-US" w:eastAsia="en-US"/>
        </w:rPr>
        <w:t xml:space="preserve"> Figure 32</w:t>
      </w:r>
      <w:r w:rsidRPr="00F403F4">
        <w:rPr>
          <w:rFonts w:eastAsia="Calibri" w:cs="Arial"/>
          <w:sz w:val="24"/>
          <w:szCs w:val="24"/>
          <w:lang w:val="en-US" w:eastAsia="en-US"/>
        </w:rPr>
        <w:t>.</w:t>
      </w:r>
    </w:p>
    <w:p w:rsidR="00874800" w:rsidRPr="00874800" w:rsidRDefault="00874800" w:rsidP="00C075CC">
      <w:pPr>
        <w:spacing w:after="0" w:line="240" w:lineRule="auto"/>
        <w:rPr>
          <w:rFonts w:eastAsia="Calibri" w:cs="Arial"/>
          <w:sz w:val="24"/>
          <w:szCs w:val="24"/>
          <w:lang w:val="en-US" w:eastAsia="en-US"/>
        </w:rPr>
      </w:pPr>
      <w:r w:rsidRPr="00874800">
        <w:rPr>
          <w:rFonts w:ascii="Calibri" w:eastAsia="Calibri" w:hAnsi="Calibri" w:cs="Times New Roman"/>
          <w:noProof/>
        </w:rPr>
        <w:drawing>
          <wp:inline distT="0" distB="0" distL="0" distR="0" wp14:anchorId="5495525F" wp14:editId="7F85F0E8">
            <wp:extent cx="5325626" cy="2642716"/>
            <wp:effectExtent l="0" t="0" r="27940" b="24765"/>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14A0B" w:rsidRDefault="00014A0B" w:rsidP="00F403F4">
      <w:pPr>
        <w:pStyle w:val="Heading3"/>
        <w:spacing w:before="0" w:line="240" w:lineRule="auto"/>
        <w:rPr>
          <w:rFonts w:eastAsia="Calibri"/>
          <w:lang w:val="en-US" w:eastAsia="en-US"/>
        </w:rPr>
      </w:pPr>
      <w:bookmarkStart w:id="259" w:name="_Toc489345809"/>
      <w:bookmarkStart w:id="260" w:name="_Toc489346014"/>
      <w:bookmarkStart w:id="261" w:name="_Toc489537752"/>
      <w:r w:rsidRPr="00014A0B">
        <w:rPr>
          <w:rFonts w:eastAsia="Calibri"/>
          <w:b/>
          <w:lang w:val="en-US" w:eastAsia="en-US"/>
        </w:rPr>
        <w:t>Figure</w:t>
      </w:r>
      <w:r w:rsidR="00FB382F">
        <w:rPr>
          <w:rFonts w:eastAsia="Calibri"/>
          <w:b/>
          <w:lang w:val="en-US" w:eastAsia="en-US"/>
        </w:rPr>
        <w:t xml:space="preserve"> 32</w:t>
      </w:r>
      <w:r w:rsidRPr="00014A0B">
        <w:rPr>
          <w:rFonts w:eastAsia="Calibri"/>
          <w:b/>
          <w:lang w:val="en-US" w:eastAsia="en-US"/>
        </w:rPr>
        <w:t>:</w:t>
      </w:r>
      <w:r>
        <w:rPr>
          <w:rFonts w:eastAsia="Calibri"/>
          <w:lang w:val="en-US" w:eastAsia="en-US"/>
        </w:rPr>
        <w:t xml:space="preserve"> S</w:t>
      </w:r>
      <w:r w:rsidRPr="00014A0B">
        <w:rPr>
          <w:rFonts w:eastAsia="Calibri"/>
          <w:lang w:val="en-US" w:eastAsia="en-US"/>
        </w:rPr>
        <w:t>upply of dry beans</w:t>
      </w:r>
      <w:bookmarkEnd w:id="259"/>
      <w:bookmarkEnd w:id="260"/>
      <w:bookmarkEnd w:id="261"/>
    </w:p>
    <w:p w:rsidR="00014A0B" w:rsidRPr="00FB382F" w:rsidRDefault="00014A0B" w:rsidP="00FB382F">
      <w:pPr>
        <w:rPr>
          <w:rFonts w:eastAsia="Calibri" w:cs="Arial"/>
          <w:szCs w:val="18"/>
          <w:lang w:val="en-US" w:eastAsia="en-US"/>
        </w:rPr>
      </w:pPr>
      <w:bookmarkStart w:id="262" w:name="_Toc489345810"/>
      <w:bookmarkStart w:id="263" w:name="_Toc489346015"/>
      <w:r w:rsidRPr="00FB382F">
        <w:rPr>
          <w:rFonts w:eastAsia="Calibri" w:cs="Arial"/>
          <w:szCs w:val="18"/>
          <w:lang w:val="en-US" w:eastAsia="en-US"/>
        </w:rPr>
        <w:t xml:space="preserve">Source: </w:t>
      </w:r>
      <w:proofErr w:type="spellStart"/>
      <w:r w:rsidRPr="00FB382F">
        <w:rPr>
          <w:rFonts w:eastAsia="Calibri" w:cs="Arial"/>
          <w:szCs w:val="18"/>
          <w:lang w:val="en-US" w:eastAsia="en-US"/>
        </w:rPr>
        <w:t>StatsSA</w:t>
      </w:r>
      <w:bookmarkEnd w:id="262"/>
      <w:bookmarkEnd w:id="263"/>
      <w:proofErr w:type="spellEnd"/>
    </w:p>
    <w:p w:rsidR="00014A0B" w:rsidRPr="00014A0B" w:rsidRDefault="00014A0B" w:rsidP="00014A0B">
      <w:pPr>
        <w:spacing w:after="0"/>
        <w:rPr>
          <w:rFonts w:eastAsia="Calibri" w:cs="Arial"/>
          <w:szCs w:val="18"/>
          <w:lang w:val="en-US" w:eastAsia="en-US"/>
        </w:rPr>
      </w:pPr>
    </w:p>
    <w:p w:rsidR="00874800" w:rsidRPr="00F403F4" w:rsidRDefault="00E90958" w:rsidP="00BF41F5">
      <w:pPr>
        <w:spacing w:line="360" w:lineRule="auto"/>
        <w:jc w:val="both"/>
        <w:rPr>
          <w:rFonts w:eastAsia="Calibri" w:cs="Arial"/>
          <w:sz w:val="24"/>
          <w:szCs w:val="24"/>
          <w:lang w:val="en-US" w:eastAsia="en-US"/>
        </w:rPr>
      </w:pPr>
      <w:r>
        <w:rPr>
          <w:rFonts w:eastAsia="Calibri" w:cs="Arial"/>
          <w:sz w:val="24"/>
          <w:szCs w:val="24"/>
          <w:lang w:val="en-US" w:eastAsia="en-US"/>
        </w:rPr>
        <w:t xml:space="preserve">Figure 33 show hectares of </w:t>
      </w:r>
      <w:proofErr w:type="spellStart"/>
      <w:r>
        <w:rPr>
          <w:rFonts w:eastAsia="Calibri" w:cs="Arial"/>
          <w:sz w:val="24"/>
          <w:szCs w:val="24"/>
          <w:lang w:val="en-US" w:eastAsia="en-US"/>
        </w:rPr>
        <w:t>drybean</w:t>
      </w:r>
      <w:proofErr w:type="spellEnd"/>
      <w:r>
        <w:rPr>
          <w:rFonts w:eastAsia="Calibri" w:cs="Arial"/>
          <w:sz w:val="24"/>
          <w:szCs w:val="24"/>
          <w:lang w:val="en-US" w:eastAsia="en-US"/>
        </w:rPr>
        <w:t xml:space="preserve"> </w:t>
      </w:r>
      <w:proofErr w:type="gramStart"/>
      <w:r>
        <w:rPr>
          <w:rFonts w:eastAsia="Calibri" w:cs="Arial"/>
          <w:sz w:val="24"/>
          <w:szCs w:val="24"/>
          <w:lang w:val="en-US" w:eastAsia="en-US"/>
        </w:rPr>
        <w:t>planted  b</w:t>
      </w:r>
      <w:r w:rsidR="00874800" w:rsidRPr="00F403F4">
        <w:rPr>
          <w:rFonts w:eastAsia="Calibri" w:cs="Arial"/>
          <w:sz w:val="24"/>
          <w:szCs w:val="24"/>
          <w:lang w:val="en-US" w:eastAsia="en-US"/>
        </w:rPr>
        <w:t>etween</w:t>
      </w:r>
      <w:proofErr w:type="gramEnd"/>
      <w:r w:rsidR="00874800" w:rsidRPr="00F403F4">
        <w:rPr>
          <w:rFonts w:eastAsia="Calibri" w:cs="Arial"/>
          <w:sz w:val="24"/>
          <w:szCs w:val="24"/>
          <w:lang w:val="en-US" w:eastAsia="en-US"/>
        </w:rPr>
        <w:t xml:space="preserve"> 2007 and 2012</w:t>
      </w:r>
      <w:r>
        <w:rPr>
          <w:rFonts w:eastAsia="Calibri" w:cs="Arial"/>
          <w:sz w:val="24"/>
          <w:szCs w:val="24"/>
          <w:lang w:val="en-US" w:eastAsia="en-US"/>
        </w:rPr>
        <w:t>,</w:t>
      </w:r>
      <w:r w:rsidR="00874800" w:rsidRPr="00F403F4">
        <w:rPr>
          <w:rFonts w:eastAsia="Calibri" w:cs="Arial"/>
          <w:sz w:val="24"/>
          <w:szCs w:val="24"/>
          <w:lang w:val="en-US" w:eastAsia="en-US"/>
        </w:rPr>
        <w:t xml:space="preserve"> there was a constant small decrease in area planted.  From 2013 </w:t>
      </w:r>
      <w:r w:rsidR="008E01C2">
        <w:rPr>
          <w:rFonts w:eastAsia="Calibri" w:cs="Arial"/>
          <w:sz w:val="24"/>
          <w:szCs w:val="24"/>
          <w:lang w:val="en-US" w:eastAsia="en-US"/>
        </w:rPr>
        <w:t>to</w:t>
      </w:r>
      <w:r w:rsidR="00874800" w:rsidRPr="00F403F4">
        <w:rPr>
          <w:rFonts w:eastAsia="Calibri" w:cs="Arial"/>
          <w:sz w:val="24"/>
          <w:szCs w:val="24"/>
          <w:lang w:val="en-US" w:eastAsia="en-US"/>
        </w:rPr>
        <w:t xml:space="preserve"> 2015 area planted increased but dropped significantly in 2016 when there was a nationwide drought.  A significant increase (31%) in area planted is forecast for 2017.</w:t>
      </w:r>
    </w:p>
    <w:p w:rsidR="00C075CC" w:rsidRDefault="00C075CC" w:rsidP="00874800">
      <w:pPr>
        <w:rPr>
          <w:rFonts w:eastAsia="Calibri" w:cs="Arial"/>
          <w:sz w:val="24"/>
          <w:szCs w:val="24"/>
          <w:lang w:val="en-US" w:eastAsia="en-US"/>
        </w:rPr>
      </w:pPr>
    </w:p>
    <w:p w:rsidR="00874800" w:rsidRPr="00014A0B" w:rsidRDefault="00874800" w:rsidP="00F403F4">
      <w:pPr>
        <w:spacing w:after="0" w:line="240" w:lineRule="auto"/>
        <w:rPr>
          <w:rFonts w:eastAsia="Calibri" w:cs="Arial"/>
          <w:szCs w:val="18"/>
          <w:lang w:val="en-US" w:eastAsia="en-US"/>
        </w:rPr>
      </w:pPr>
      <w:r w:rsidRPr="00014A0B">
        <w:rPr>
          <w:noProof/>
          <w:szCs w:val="18"/>
        </w:rPr>
        <w:drawing>
          <wp:inline distT="0" distB="0" distL="0" distR="0" wp14:anchorId="5077F1C9" wp14:editId="24838F74">
            <wp:extent cx="4572000" cy="2743200"/>
            <wp:effectExtent l="0" t="0" r="19050" b="19050"/>
            <wp:docPr id="153" name="Chart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74800" w:rsidRPr="00014A0B" w:rsidRDefault="00014A0B" w:rsidP="00F403F4">
      <w:pPr>
        <w:pStyle w:val="Heading3"/>
        <w:spacing w:before="0" w:line="240" w:lineRule="auto"/>
        <w:rPr>
          <w:rFonts w:eastAsia="Calibri"/>
          <w:lang w:val="en-US" w:eastAsia="en-US"/>
        </w:rPr>
      </w:pPr>
      <w:bookmarkStart w:id="264" w:name="_Toc489345811"/>
      <w:bookmarkStart w:id="265" w:name="_Toc489346016"/>
      <w:bookmarkStart w:id="266" w:name="_Toc489537753"/>
      <w:r w:rsidRPr="00A22959">
        <w:rPr>
          <w:rFonts w:eastAsia="Calibri"/>
          <w:b/>
          <w:lang w:val="en-US" w:eastAsia="en-US"/>
        </w:rPr>
        <w:t>Figure</w:t>
      </w:r>
      <w:r w:rsidR="00FB382F">
        <w:rPr>
          <w:rFonts w:eastAsia="Calibri"/>
          <w:b/>
          <w:lang w:val="en-US" w:eastAsia="en-US"/>
        </w:rPr>
        <w:t xml:space="preserve"> 33</w:t>
      </w:r>
      <w:r w:rsidRPr="00A22959">
        <w:rPr>
          <w:rFonts w:eastAsia="Calibri"/>
          <w:b/>
          <w:lang w:val="en-US" w:eastAsia="en-US"/>
        </w:rPr>
        <w:t>:</w:t>
      </w:r>
      <w:r w:rsidRPr="00014A0B">
        <w:rPr>
          <w:rFonts w:eastAsia="Calibri"/>
          <w:lang w:val="en-US" w:eastAsia="en-US"/>
        </w:rPr>
        <w:t xml:space="preserve"> </w:t>
      </w:r>
      <w:proofErr w:type="spellStart"/>
      <w:r w:rsidR="00437C3D">
        <w:rPr>
          <w:rFonts w:eastAsia="Calibri"/>
          <w:lang w:val="en-US" w:eastAsia="en-US"/>
        </w:rPr>
        <w:t>D</w:t>
      </w:r>
      <w:r w:rsidRPr="00014A0B">
        <w:rPr>
          <w:rFonts w:eastAsia="Calibri"/>
          <w:lang w:val="en-US" w:eastAsia="en-US"/>
        </w:rPr>
        <w:t>rybean</w:t>
      </w:r>
      <w:proofErr w:type="spellEnd"/>
      <w:r w:rsidRPr="00014A0B">
        <w:rPr>
          <w:rFonts w:eastAsia="Calibri"/>
          <w:lang w:val="en-US" w:eastAsia="en-US"/>
        </w:rPr>
        <w:t xml:space="preserve"> hectares planted in the RSA</w:t>
      </w:r>
      <w:bookmarkEnd w:id="264"/>
      <w:bookmarkEnd w:id="265"/>
      <w:bookmarkEnd w:id="266"/>
    </w:p>
    <w:p w:rsidR="00014A0B" w:rsidRPr="00FB382F" w:rsidRDefault="00014A0B" w:rsidP="00FB382F">
      <w:pPr>
        <w:rPr>
          <w:rFonts w:eastAsia="Calibri" w:cs="Arial"/>
          <w:szCs w:val="18"/>
          <w:lang w:val="en-US" w:eastAsia="en-US"/>
        </w:rPr>
      </w:pPr>
      <w:bookmarkStart w:id="267" w:name="_Toc489345812"/>
      <w:bookmarkStart w:id="268" w:name="_Toc489346017"/>
      <w:r w:rsidRPr="00FB382F">
        <w:rPr>
          <w:rFonts w:eastAsia="Calibri" w:cs="Arial"/>
          <w:szCs w:val="18"/>
          <w:lang w:val="en-US" w:eastAsia="en-US"/>
        </w:rPr>
        <w:t xml:space="preserve">Source: </w:t>
      </w:r>
      <w:proofErr w:type="spellStart"/>
      <w:r w:rsidRPr="00FB382F">
        <w:rPr>
          <w:rFonts w:eastAsia="Calibri" w:cs="Arial"/>
          <w:szCs w:val="18"/>
          <w:lang w:val="en-US" w:eastAsia="en-US"/>
        </w:rPr>
        <w:t>StatsSA</w:t>
      </w:r>
      <w:bookmarkEnd w:id="267"/>
      <w:bookmarkEnd w:id="268"/>
      <w:proofErr w:type="spellEnd"/>
    </w:p>
    <w:p w:rsidR="00014A0B" w:rsidRDefault="00014A0B" w:rsidP="00014A0B">
      <w:pPr>
        <w:spacing w:after="0"/>
        <w:rPr>
          <w:rFonts w:eastAsia="Calibri" w:cs="Arial"/>
          <w:szCs w:val="18"/>
          <w:lang w:val="en-US" w:eastAsia="en-US"/>
        </w:rPr>
      </w:pPr>
    </w:p>
    <w:p w:rsidR="009A57B8" w:rsidRPr="00007B86" w:rsidRDefault="009A57B8" w:rsidP="00BF41F5">
      <w:pPr>
        <w:pStyle w:val="Heading2"/>
        <w:spacing w:line="360" w:lineRule="auto"/>
        <w:rPr>
          <w:szCs w:val="24"/>
          <w:lang w:val="en-GB"/>
        </w:rPr>
      </w:pPr>
      <w:bookmarkStart w:id="269" w:name="_Toc489345813"/>
      <w:bookmarkStart w:id="270" w:name="_Toc489346018"/>
      <w:bookmarkStart w:id="271" w:name="_Toc489537754"/>
      <w:r w:rsidRPr="00F403F4">
        <w:rPr>
          <w:szCs w:val="24"/>
          <w:lang w:val="en-GB"/>
        </w:rPr>
        <w:t xml:space="preserve">3.2 </w:t>
      </w:r>
      <w:r w:rsidRPr="00007B86">
        <w:rPr>
          <w:szCs w:val="24"/>
          <w:lang w:val="en-GB"/>
        </w:rPr>
        <w:t>Fruit and vegetable market review</w:t>
      </w:r>
      <w:bookmarkEnd w:id="269"/>
      <w:bookmarkEnd w:id="270"/>
      <w:bookmarkEnd w:id="271"/>
      <w:r w:rsidRPr="00007B86">
        <w:rPr>
          <w:szCs w:val="24"/>
          <w:lang w:val="en-GB"/>
        </w:rPr>
        <w:t xml:space="preserve"> </w:t>
      </w:r>
    </w:p>
    <w:p w:rsidR="005C3AA3" w:rsidRPr="00007B86" w:rsidRDefault="005C3AA3" w:rsidP="00BF41F5">
      <w:pPr>
        <w:spacing w:line="360" w:lineRule="auto"/>
        <w:jc w:val="both"/>
        <w:rPr>
          <w:rFonts w:cs="Arial"/>
          <w:noProof/>
          <w:sz w:val="24"/>
          <w:szCs w:val="24"/>
        </w:rPr>
      </w:pPr>
      <w:r w:rsidRPr="00007B86">
        <w:rPr>
          <w:rFonts w:cs="Arial"/>
          <w:noProof/>
          <w:sz w:val="24"/>
          <w:szCs w:val="24"/>
        </w:rPr>
        <w:t>The review point out average prices and quanties of fruits and vegetables supplied at Fresh Produce Markets (FPMs) between the f</w:t>
      </w:r>
      <w:r w:rsidR="00007B86" w:rsidRPr="00007B86">
        <w:rPr>
          <w:rFonts w:cs="Arial"/>
          <w:noProof/>
          <w:sz w:val="24"/>
          <w:szCs w:val="24"/>
        </w:rPr>
        <w:t xml:space="preserve">irst </w:t>
      </w:r>
      <w:r w:rsidRPr="00007B86">
        <w:rPr>
          <w:rFonts w:cs="Arial"/>
          <w:noProof/>
          <w:sz w:val="24"/>
          <w:szCs w:val="24"/>
        </w:rPr>
        <w:t>quarter of 201</w:t>
      </w:r>
      <w:r w:rsidR="00007B86" w:rsidRPr="00007B86">
        <w:rPr>
          <w:rFonts w:cs="Arial"/>
          <w:noProof/>
          <w:sz w:val="24"/>
          <w:szCs w:val="24"/>
        </w:rPr>
        <w:t>6</w:t>
      </w:r>
      <w:r w:rsidRPr="00007B86">
        <w:rPr>
          <w:rFonts w:cs="Arial"/>
          <w:noProof/>
          <w:sz w:val="24"/>
          <w:szCs w:val="24"/>
        </w:rPr>
        <w:t xml:space="preserve"> and the f</w:t>
      </w:r>
      <w:r w:rsidR="00007B86" w:rsidRPr="00007B86">
        <w:rPr>
          <w:rFonts w:cs="Arial"/>
          <w:noProof/>
          <w:sz w:val="24"/>
          <w:szCs w:val="24"/>
        </w:rPr>
        <w:t>irst</w:t>
      </w:r>
      <w:r w:rsidRPr="00007B86">
        <w:rPr>
          <w:rFonts w:cs="Arial"/>
          <w:noProof/>
          <w:sz w:val="24"/>
          <w:szCs w:val="24"/>
        </w:rPr>
        <w:t xml:space="preserve"> quarter of 201</w:t>
      </w:r>
      <w:r w:rsidR="00007B86" w:rsidRPr="00007B86">
        <w:rPr>
          <w:rFonts w:cs="Arial"/>
          <w:noProof/>
          <w:sz w:val="24"/>
          <w:szCs w:val="24"/>
        </w:rPr>
        <w:t>7</w:t>
      </w:r>
      <w:r w:rsidRPr="00007B86">
        <w:rPr>
          <w:rFonts w:cs="Arial"/>
          <w:noProof/>
          <w:sz w:val="24"/>
          <w:szCs w:val="24"/>
        </w:rPr>
        <w:t xml:space="preserve">. This report is of significant importance hence </w:t>
      </w:r>
      <w:r w:rsidRPr="00007B86">
        <w:rPr>
          <w:rFonts w:cs="Arial"/>
          <w:sz w:val="24"/>
          <w:szCs w:val="24"/>
        </w:rPr>
        <w:t xml:space="preserve">Fruits and vegetables are providing an abundant, cheap source of </w:t>
      </w:r>
      <w:proofErr w:type="spellStart"/>
      <w:r w:rsidRPr="00007B86">
        <w:rPr>
          <w:rFonts w:cs="Arial"/>
          <w:sz w:val="24"/>
          <w:szCs w:val="24"/>
        </w:rPr>
        <w:t>fiber</w:t>
      </w:r>
      <w:proofErr w:type="spellEnd"/>
      <w:r w:rsidRPr="00007B86">
        <w:rPr>
          <w:rFonts w:cs="Arial"/>
          <w:sz w:val="24"/>
          <w:szCs w:val="24"/>
        </w:rPr>
        <w:t xml:space="preserve"> and several vitamins and minerals and play a crucial part in economic development of the country as whole.</w:t>
      </w:r>
    </w:p>
    <w:p w:rsidR="005C3AA3" w:rsidRPr="00007B86" w:rsidRDefault="005C3AA3" w:rsidP="005C3AA3">
      <w:pPr>
        <w:spacing w:line="360" w:lineRule="auto"/>
        <w:jc w:val="both"/>
        <w:rPr>
          <w:rFonts w:cs="Arial"/>
          <w:sz w:val="24"/>
          <w:szCs w:val="24"/>
        </w:rPr>
      </w:pPr>
      <w:r w:rsidRPr="00007B86">
        <w:rPr>
          <w:rFonts w:cs="Arial"/>
          <w:sz w:val="24"/>
          <w:szCs w:val="24"/>
        </w:rPr>
        <w:t>Most of the local and international forecasting systems consistently indicate that South Africa’s summer-rainfall areas may expect wetter conditions during the latter parts of the summer season. The likelihood, slightly favouring wetter conditions, however</w:t>
      </w:r>
      <w:r w:rsidR="008E01C2">
        <w:rPr>
          <w:rFonts w:cs="Arial"/>
          <w:sz w:val="24"/>
          <w:szCs w:val="24"/>
        </w:rPr>
        <w:t>,</w:t>
      </w:r>
      <w:r w:rsidRPr="00007B86">
        <w:rPr>
          <w:rFonts w:cs="Arial"/>
          <w:sz w:val="24"/>
          <w:szCs w:val="24"/>
        </w:rPr>
        <w:t xml:space="preserve"> remains relatively low. Temperatures are expected to be warmer than normal across the country, though similar to the rainfall outlook there is a significant amount of uncertainty in the forecast.</w:t>
      </w:r>
    </w:p>
    <w:p w:rsidR="005C3AA3" w:rsidRPr="00007B86" w:rsidRDefault="005C3AA3" w:rsidP="005C3AA3">
      <w:pPr>
        <w:spacing w:line="360" w:lineRule="auto"/>
        <w:jc w:val="both"/>
        <w:rPr>
          <w:rFonts w:cs="Arial"/>
          <w:noProof/>
          <w:sz w:val="24"/>
          <w:szCs w:val="24"/>
        </w:rPr>
      </w:pPr>
      <w:r w:rsidRPr="00007B86">
        <w:rPr>
          <w:rFonts w:cs="Arial"/>
          <w:sz w:val="24"/>
          <w:szCs w:val="24"/>
        </w:rPr>
        <w:t>Recommendation are that even though some relief of the severe drought conditions has occurred over the eastern and north eastern parts of the country the central and western parts of the country are still burdened with below normal rainfall conditions. The public is reminded that with winter on the horizon significant water loss can be expected with the usual decline of rainfall as well as high amounts of evaporation, particularly over the summer rainfall areas. Thus water saving measures to continue is highly recommended across the country. As usual, it is also very important to keep monitoring any developments that may provide more clarity on the current expectations for the coming seasons.</w:t>
      </w:r>
    </w:p>
    <w:p w:rsidR="005C3AA3" w:rsidRPr="00FB382F" w:rsidRDefault="005C3AA3" w:rsidP="005C3AA3">
      <w:pPr>
        <w:rPr>
          <w:rFonts w:cs="Arial"/>
          <w:noProof/>
          <w:color w:val="FF0000"/>
          <w:sz w:val="24"/>
          <w:szCs w:val="24"/>
        </w:rPr>
      </w:pPr>
    </w:p>
    <w:p w:rsidR="005C3AA3" w:rsidRDefault="00FB382F" w:rsidP="005C3AA3">
      <w:pPr>
        <w:spacing w:after="0" w:line="240" w:lineRule="auto"/>
        <w:jc w:val="both"/>
        <w:rPr>
          <w:rFonts w:cs="Arial"/>
          <w:sz w:val="24"/>
          <w:szCs w:val="24"/>
        </w:rPr>
      </w:pPr>
      <w:r>
        <w:rPr>
          <w:noProof/>
        </w:rPr>
        <w:drawing>
          <wp:inline distT="0" distB="0" distL="0" distR="0" wp14:anchorId="66230A0A" wp14:editId="6945049C">
            <wp:extent cx="5731510" cy="3161265"/>
            <wp:effectExtent l="0" t="0" r="21590" b="20320"/>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B382F" w:rsidRPr="00DC6C63" w:rsidRDefault="00FB382F" w:rsidP="00FB382F">
      <w:pPr>
        <w:pStyle w:val="Heading3"/>
        <w:spacing w:before="0" w:line="240" w:lineRule="auto"/>
        <w:rPr>
          <w:rFonts w:eastAsia="Times New Roman"/>
          <w:sz w:val="24"/>
          <w:szCs w:val="24"/>
          <w:lang w:val="en-GB"/>
        </w:rPr>
      </w:pPr>
      <w:bookmarkStart w:id="272" w:name="_Toc489537755"/>
      <w:r w:rsidRPr="00FB382F">
        <w:rPr>
          <w:rFonts w:eastAsia="Times New Roman"/>
          <w:b/>
          <w:lang w:val="en-GB"/>
        </w:rPr>
        <w:t>Figure 34:</w:t>
      </w:r>
      <w:r w:rsidRPr="00DC6C63">
        <w:rPr>
          <w:rFonts w:eastAsia="Times New Roman"/>
          <w:lang w:val="en-GB"/>
        </w:rPr>
        <w:t xml:space="preserve"> Average price trends of various fruits traded at Fresh Produce Markets (FPMs)</w:t>
      </w:r>
      <w:bookmarkEnd w:id="272"/>
    </w:p>
    <w:p w:rsidR="00FB382F" w:rsidRPr="00FB382F" w:rsidRDefault="00FB382F" w:rsidP="00FB382F">
      <w:pPr>
        <w:spacing w:after="0" w:line="240" w:lineRule="auto"/>
        <w:jc w:val="both"/>
        <w:rPr>
          <w:rFonts w:eastAsia="Times New Roman" w:cs="Arial"/>
          <w:szCs w:val="18"/>
          <w:lang w:val="en-GB"/>
        </w:rPr>
      </w:pPr>
      <w:r w:rsidRPr="00FB382F">
        <w:rPr>
          <w:rFonts w:eastAsia="Times New Roman" w:cs="Arial"/>
          <w:szCs w:val="18"/>
          <w:lang w:val="en-GB"/>
        </w:rPr>
        <w:t>Source: Daff</w:t>
      </w:r>
    </w:p>
    <w:p w:rsidR="00FB382F" w:rsidRDefault="00FB382F" w:rsidP="00FB382F">
      <w:pPr>
        <w:spacing w:after="0" w:line="360" w:lineRule="auto"/>
        <w:jc w:val="both"/>
        <w:rPr>
          <w:rFonts w:eastAsia="Calibri" w:cs="Arial"/>
          <w:sz w:val="24"/>
          <w:szCs w:val="24"/>
        </w:rPr>
      </w:pPr>
    </w:p>
    <w:p w:rsidR="00FB382F" w:rsidRPr="00845E49" w:rsidRDefault="00FB382F" w:rsidP="00FB382F">
      <w:pPr>
        <w:spacing w:after="0" w:line="360" w:lineRule="auto"/>
        <w:jc w:val="both"/>
        <w:rPr>
          <w:rFonts w:eastAsia="Calibri" w:cs="Arial"/>
          <w:sz w:val="24"/>
          <w:szCs w:val="24"/>
        </w:rPr>
      </w:pPr>
      <w:r w:rsidRPr="00845E49">
        <w:rPr>
          <w:rFonts w:eastAsia="Calibri" w:cs="Arial"/>
          <w:sz w:val="24"/>
          <w:szCs w:val="24"/>
        </w:rPr>
        <w:t>Figure 3</w:t>
      </w:r>
      <w:r>
        <w:rPr>
          <w:rFonts w:eastAsia="Calibri" w:cs="Arial"/>
          <w:sz w:val="24"/>
          <w:szCs w:val="24"/>
        </w:rPr>
        <w:t>4</w:t>
      </w:r>
      <w:r w:rsidRPr="00845E49">
        <w:rPr>
          <w:rFonts w:eastAsia="Calibri" w:cs="Arial"/>
          <w:sz w:val="24"/>
          <w:szCs w:val="24"/>
        </w:rPr>
        <w:t xml:space="preserve"> shows average price trends of various fruits traded at Fresh Produce Markets between the first quarter of 2016 and the first quarter of 2017. Between the period under review, the average prices of oranges, bananas, grapes and pears  increased by 20%, 17%, 10%, and 3% respectively. On average</w:t>
      </w:r>
      <w:r w:rsidR="003E0E98">
        <w:rPr>
          <w:rFonts w:eastAsia="Calibri" w:cs="Arial"/>
          <w:sz w:val="24"/>
          <w:szCs w:val="24"/>
        </w:rPr>
        <w:t>,</w:t>
      </w:r>
      <w:r w:rsidRPr="00845E49">
        <w:rPr>
          <w:rFonts w:eastAsia="Calibri" w:cs="Arial"/>
          <w:sz w:val="24"/>
          <w:szCs w:val="24"/>
        </w:rPr>
        <w:t xml:space="preserve"> prices of mangoes and apples declined by 17% and 2% respectively. The average prices of avocados remained unchanged between the first quarter of 2016 and the first quarter of 2017.  </w:t>
      </w:r>
    </w:p>
    <w:p w:rsidR="00FB382F" w:rsidRDefault="00FB382F" w:rsidP="00FB382F">
      <w:pPr>
        <w:spacing w:after="0" w:line="360" w:lineRule="auto"/>
        <w:jc w:val="both"/>
        <w:rPr>
          <w:rFonts w:eastAsia="Calibri" w:cs="Arial"/>
          <w:sz w:val="24"/>
          <w:szCs w:val="24"/>
        </w:rPr>
      </w:pPr>
    </w:p>
    <w:p w:rsidR="00FB382F" w:rsidRDefault="00FB382F" w:rsidP="00FB382F">
      <w:pPr>
        <w:spacing w:after="0" w:line="240" w:lineRule="auto"/>
        <w:jc w:val="both"/>
        <w:rPr>
          <w:rFonts w:eastAsia="Calibri" w:cs="Arial"/>
          <w:sz w:val="24"/>
          <w:szCs w:val="24"/>
        </w:rPr>
      </w:pPr>
      <w:r>
        <w:rPr>
          <w:noProof/>
        </w:rPr>
        <w:drawing>
          <wp:inline distT="0" distB="0" distL="0" distR="0" wp14:anchorId="17CED2DB" wp14:editId="747BCA89">
            <wp:extent cx="5574030" cy="2983230"/>
            <wp:effectExtent l="0" t="0" r="26670" b="26670"/>
            <wp:docPr id="185" name="Chart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B382F" w:rsidRPr="00DC6C63" w:rsidRDefault="00FB382F" w:rsidP="00FB382F">
      <w:pPr>
        <w:pStyle w:val="Heading3"/>
        <w:spacing w:before="0" w:line="240" w:lineRule="auto"/>
        <w:rPr>
          <w:rFonts w:eastAsia="Times New Roman"/>
          <w:sz w:val="24"/>
          <w:szCs w:val="24"/>
          <w:lang w:val="en-GB"/>
        </w:rPr>
      </w:pPr>
      <w:bookmarkStart w:id="273" w:name="_Toc489537756"/>
      <w:r w:rsidRPr="00FB382F">
        <w:rPr>
          <w:rFonts w:eastAsia="Times New Roman"/>
          <w:b/>
          <w:lang w:val="en-GB"/>
        </w:rPr>
        <w:t xml:space="preserve">Figure </w:t>
      </w:r>
      <w:r>
        <w:rPr>
          <w:rFonts w:eastAsia="Times New Roman"/>
          <w:b/>
          <w:lang w:val="en-GB"/>
        </w:rPr>
        <w:t>35</w:t>
      </w:r>
      <w:r w:rsidRPr="00FB382F">
        <w:rPr>
          <w:rFonts w:eastAsia="Times New Roman"/>
          <w:b/>
          <w:lang w:val="en-GB"/>
        </w:rPr>
        <w:t>:</w:t>
      </w:r>
      <w:r w:rsidRPr="00DC6C63">
        <w:rPr>
          <w:rFonts w:eastAsia="Times New Roman"/>
          <w:lang w:val="en-GB"/>
        </w:rPr>
        <w:t xml:space="preserve"> </w:t>
      </w:r>
      <w:r>
        <w:rPr>
          <w:rFonts w:eastAsia="Times New Roman"/>
          <w:lang w:val="en-GB"/>
        </w:rPr>
        <w:t>Quantities</w:t>
      </w:r>
      <w:r w:rsidRPr="00DC6C63">
        <w:rPr>
          <w:rFonts w:eastAsia="Times New Roman"/>
          <w:lang w:val="en-GB"/>
        </w:rPr>
        <w:t xml:space="preserve"> of various fruits traded at Fresh Produce Markets (FPMs)</w:t>
      </w:r>
      <w:bookmarkEnd w:id="273"/>
    </w:p>
    <w:p w:rsidR="00FB382F" w:rsidRPr="00845E49" w:rsidRDefault="00FB382F" w:rsidP="00FB382F">
      <w:pPr>
        <w:spacing w:after="0" w:line="240" w:lineRule="auto"/>
        <w:jc w:val="both"/>
        <w:rPr>
          <w:rFonts w:eastAsia="Calibri" w:cs="Arial"/>
          <w:sz w:val="24"/>
          <w:szCs w:val="24"/>
        </w:rPr>
      </w:pPr>
      <w:r w:rsidRPr="00FB382F">
        <w:rPr>
          <w:rFonts w:eastAsia="Times New Roman" w:cs="Arial"/>
          <w:szCs w:val="18"/>
          <w:lang w:val="en-GB"/>
        </w:rPr>
        <w:t>Source: Daff</w:t>
      </w:r>
    </w:p>
    <w:p w:rsidR="00FB382F" w:rsidRPr="00845E49" w:rsidRDefault="00FB382F" w:rsidP="00FB382F">
      <w:pPr>
        <w:spacing w:after="0" w:line="360" w:lineRule="auto"/>
        <w:jc w:val="both"/>
        <w:rPr>
          <w:rFonts w:eastAsia="Calibri" w:cs="Arial"/>
          <w:sz w:val="24"/>
          <w:szCs w:val="24"/>
        </w:rPr>
      </w:pPr>
    </w:p>
    <w:p w:rsidR="00FB382F" w:rsidRPr="00845E49" w:rsidRDefault="00FB382F" w:rsidP="00FB382F">
      <w:pPr>
        <w:spacing w:after="0" w:line="360" w:lineRule="auto"/>
        <w:jc w:val="both"/>
        <w:rPr>
          <w:rFonts w:eastAsia="Calibri" w:cs="Arial"/>
          <w:sz w:val="24"/>
          <w:szCs w:val="24"/>
        </w:rPr>
      </w:pPr>
      <w:r w:rsidRPr="00845E49">
        <w:rPr>
          <w:rFonts w:eastAsia="Calibri" w:cs="Arial"/>
          <w:sz w:val="24"/>
          <w:szCs w:val="24"/>
        </w:rPr>
        <w:t>Figure 3</w:t>
      </w:r>
      <w:r>
        <w:rPr>
          <w:rFonts w:eastAsia="Calibri" w:cs="Arial"/>
          <w:sz w:val="24"/>
          <w:szCs w:val="24"/>
        </w:rPr>
        <w:t>5</w:t>
      </w:r>
      <w:r w:rsidRPr="00845E49">
        <w:rPr>
          <w:rFonts w:eastAsia="Calibri" w:cs="Arial"/>
          <w:sz w:val="24"/>
          <w:szCs w:val="24"/>
        </w:rPr>
        <w:t xml:space="preserve"> indicates quantities of various fruits traded at Fresh Produce Markets (FPMs) between the first quarter of 2016 and the first quarter of 2017. The quantities of most fruits traded have dropped between the period under review. Quantities  of bananas, pears, avocados and apples decreased by 17%, 7%, 3% and 2% respectively between the first quarter of 2016 and the first quarter of 2017 while quantities of oranges, grapes and mangoes increased by 39%, 23% and 13% respectively during the same period. </w:t>
      </w:r>
    </w:p>
    <w:p w:rsidR="00FB382F" w:rsidRDefault="00FB382F" w:rsidP="00FB382F"/>
    <w:p w:rsidR="00FB382F" w:rsidRDefault="00FB382F" w:rsidP="00FB382F"/>
    <w:p w:rsidR="00FB382F" w:rsidRDefault="00FB382F" w:rsidP="00FB382F">
      <w:pPr>
        <w:rPr>
          <w:noProof/>
        </w:rPr>
      </w:pPr>
    </w:p>
    <w:p w:rsidR="00FB382F" w:rsidRDefault="00FB382F" w:rsidP="00A251EF">
      <w:pPr>
        <w:spacing w:after="0" w:line="240" w:lineRule="auto"/>
      </w:pPr>
      <w:r>
        <w:rPr>
          <w:noProof/>
        </w:rPr>
        <w:drawing>
          <wp:inline distT="0" distB="0" distL="0" distR="0" wp14:anchorId="4C15E5B3" wp14:editId="7F19EE7F">
            <wp:extent cx="4572000" cy="2743200"/>
            <wp:effectExtent l="0" t="0" r="19050" b="19050"/>
            <wp:docPr id="186" name="Chart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B382F" w:rsidRPr="00DC6C63" w:rsidRDefault="00FB382F" w:rsidP="00A251EF">
      <w:pPr>
        <w:pStyle w:val="Heading3"/>
        <w:spacing w:before="0" w:line="240" w:lineRule="auto"/>
        <w:rPr>
          <w:rFonts w:eastAsia="Times New Roman"/>
          <w:sz w:val="24"/>
          <w:szCs w:val="24"/>
          <w:lang w:val="en-GB"/>
        </w:rPr>
      </w:pPr>
      <w:bookmarkStart w:id="274" w:name="_Toc489537757"/>
      <w:r w:rsidRPr="00FB382F">
        <w:rPr>
          <w:rFonts w:eastAsia="Times New Roman"/>
          <w:b/>
          <w:lang w:val="en-GB"/>
        </w:rPr>
        <w:t xml:space="preserve">Figure </w:t>
      </w:r>
      <w:r>
        <w:rPr>
          <w:rFonts w:eastAsia="Times New Roman"/>
          <w:b/>
          <w:lang w:val="en-GB"/>
        </w:rPr>
        <w:t>36</w:t>
      </w:r>
      <w:r w:rsidRPr="00FB382F">
        <w:rPr>
          <w:rFonts w:eastAsia="Times New Roman"/>
          <w:b/>
          <w:lang w:val="en-GB"/>
        </w:rPr>
        <w:t>:</w:t>
      </w:r>
      <w:r w:rsidRPr="00DC6C63">
        <w:rPr>
          <w:rFonts w:eastAsia="Times New Roman"/>
          <w:lang w:val="en-GB"/>
        </w:rPr>
        <w:t xml:space="preserve"> </w:t>
      </w:r>
      <w:r>
        <w:rPr>
          <w:rFonts w:eastAsia="Times New Roman"/>
          <w:lang w:val="en-GB"/>
        </w:rPr>
        <w:t>Average prices of various vegetables</w:t>
      </w:r>
      <w:r w:rsidRPr="00DC6C63">
        <w:rPr>
          <w:rFonts w:eastAsia="Times New Roman"/>
          <w:lang w:val="en-GB"/>
        </w:rPr>
        <w:t xml:space="preserve"> traded at Fresh Produce Markets (FPMs)</w:t>
      </w:r>
      <w:bookmarkEnd w:id="274"/>
    </w:p>
    <w:p w:rsidR="00FB382F" w:rsidRPr="00845E49" w:rsidRDefault="00FB382F" w:rsidP="00A251EF">
      <w:pPr>
        <w:spacing w:after="0" w:line="240" w:lineRule="auto"/>
        <w:jc w:val="both"/>
        <w:rPr>
          <w:rFonts w:eastAsia="Calibri" w:cs="Arial"/>
          <w:sz w:val="24"/>
          <w:szCs w:val="24"/>
        </w:rPr>
      </w:pPr>
      <w:r w:rsidRPr="00FB382F">
        <w:rPr>
          <w:rFonts w:eastAsia="Times New Roman" w:cs="Arial"/>
          <w:szCs w:val="18"/>
          <w:lang w:val="en-GB"/>
        </w:rPr>
        <w:t>Source: Daff</w:t>
      </w:r>
    </w:p>
    <w:p w:rsidR="00FB382F" w:rsidRDefault="00FB382F" w:rsidP="00FB382F"/>
    <w:p w:rsidR="00FB382F" w:rsidRDefault="00FB382F" w:rsidP="00FB382F">
      <w:pPr>
        <w:spacing w:after="0" w:line="360" w:lineRule="auto"/>
        <w:jc w:val="both"/>
        <w:rPr>
          <w:rFonts w:cs="Arial"/>
          <w:sz w:val="24"/>
          <w:szCs w:val="24"/>
        </w:rPr>
      </w:pPr>
      <w:r>
        <w:rPr>
          <w:rFonts w:cs="Arial"/>
          <w:sz w:val="24"/>
          <w:szCs w:val="24"/>
        </w:rPr>
        <w:t xml:space="preserve">Figure </w:t>
      </w:r>
      <w:r w:rsidR="00A251EF">
        <w:rPr>
          <w:rFonts w:cs="Arial"/>
          <w:sz w:val="24"/>
          <w:szCs w:val="24"/>
        </w:rPr>
        <w:t>36</w:t>
      </w:r>
      <w:r w:rsidRPr="00A77CB9">
        <w:rPr>
          <w:rFonts w:cs="Arial"/>
          <w:sz w:val="24"/>
          <w:szCs w:val="24"/>
        </w:rPr>
        <w:t xml:space="preserve"> shows </w:t>
      </w:r>
      <w:r>
        <w:rPr>
          <w:rFonts w:cs="Arial"/>
          <w:sz w:val="24"/>
          <w:szCs w:val="24"/>
        </w:rPr>
        <w:t>a</w:t>
      </w:r>
      <w:r w:rsidRPr="00A77CB9">
        <w:rPr>
          <w:rFonts w:cs="Arial"/>
          <w:sz w:val="24"/>
          <w:szCs w:val="24"/>
        </w:rPr>
        <w:t>verag</w:t>
      </w:r>
      <w:r>
        <w:rPr>
          <w:rFonts w:cs="Arial"/>
          <w:sz w:val="24"/>
          <w:szCs w:val="24"/>
        </w:rPr>
        <w:t>e price trends of various vegetables</w:t>
      </w:r>
      <w:r w:rsidRPr="00A77CB9">
        <w:rPr>
          <w:rFonts w:cs="Arial"/>
          <w:sz w:val="24"/>
          <w:szCs w:val="24"/>
        </w:rPr>
        <w:t xml:space="preserve"> traded at Fresh Produce Markets</w:t>
      </w:r>
      <w:r>
        <w:rPr>
          <w:rFonts w:cs="Arial"/>
          <w:sz w:val="24"/>
          <w:szCs w:val="24"/>
        </w:rPr>
        <w:t xml:space="preserve"> (FPMs)</w:t>
      </w:r>
      <w:r w:rsidRPr="00A77CB9">
        <w:rPr>
          <w:rFonts w:cs="Arial"/>
          <w:sz w:val="24"/>
          <w:szCs w:val="24"/>
        </w:rPr>
        <w:t xml:space="preserve"> between the </w:t>
      </w:r>
      <w:r>
        <w:rPr>
          <w:rFonts w:cs="Arial"/>
          <w:sz w:val="24"/>
          <w:szCs w:val="24"/>
        </w:rPr>
        <w:t>first quarter of 2016 and the first quarter of 2017</w:t>
      </w:r>
      <w:r w:rsidRPr="00A77CB9">
        <w:rPr>
          <w:rFonts w:cs="Arial"/>
          <w:sz w:val="24"/>
          <w:szCs w:val="24"/>
        </w:rPr>
        <w:t>.</w:t>
      </w:r>
      <w:r>
        <w:rPr>
          <w:rFonts w:cs="Arial"/>
          <w:sz w:val="24"/>
          <w:szCs w:val="24"/>
        </w:rPr>
        <w:t xml:space="preserve"> The average price of carrots, onions and potatoes decreased by, 42%, 78% and 42% respectively, </w:t>
      </w:r>
      <w:r w:rsidRPr="001A054B">
        <w:rPr>
          <w:rFonts w:cs="Arial"/>
          <w:sz w:val="24"/>
          <w:szCs w:val="24"/>
        </w:rPr>
        <w:t>across all fresh produce markets w</w:t>
      </w:r>
      <w:r>
        <w:rPr>
          <w:rFonts w:cs="Arial"/>
          <w:sz w:val="24"/>
          <w:szCs w:val="24"/>
        </w:rPr>
        <w:t>hile the prices of cabbage increased by 48% between the first quarter of 2016 and first quarter of 2017. The drop in prices of various selected vegetables can be credited to increased volumes of vegetables on the market floors due to improved levels of production.</w:t>
      </w:r>
    </w:p>
    <w:p w:rsidR="00FB382F" w:rsidRDefault="00FB382F" w:rsidP="00FB382F">
      <w:pPr>
        <w:spacing w:after="0" w:line="360" w:lineRule="auto"/>
        <w:jc w:val="both"/>
        <w:rPr>
          <w:rFonts w:cs="Arial"/>
          <w:sz w:val="24"/>
          <w:szCs w:val="24"/>
        </w:rPr>
      </w:pPr>
    </w:p>
    <w:p w:rsidR="00A251EF" w:rsidRDefault="00A251EF" w:rsidP="00FB382F">
      <w:pPr>
        <w:spacing w:after="0" w:line="360" w:lineRule="auto"/>
        <w:jc w:val="both"/>
        <w:rPr>
          <w:rFonts w:cs="Arial"/>
          <w:sz w:val="24"/>
          <w:szCs w:val="24"/>
        </w:rPr>
      </w:pPr>
    </w:p>
    <w:p w:rsidR="00A251EF" w:rsidRDefault="00A251EF" w:rsidP="00FB382F">
      <w:pPr>
        <w:spacing w:after="0" w:line="360" w:lineRule="auto"/>
        <w:jc w:val="both"/>
        <w:rPr>
          <w:rFonts w:cs="Arial"/>
          <w:sz w:val="24"/>
          <w:szCs w:val="24"/>
        </w:rPr>
      </w:pPr>
    </w:p>
    <w:p w:rsidR="00A251EF" w:rsidRPr="001A054B" w:rsidRDefault="00A251EF" w:rsidP="00FB382F">
      <w:pPr>
        <w:spacing w:after="0" w:line="360" w:lineRule="auto"/>
        <w:jc w:val="both"/>
        <w:rPr>
          <w:rFonts w:cs="Arial"/>
          <w:sz w:val="24"/>
          <w:szCs w:val="24"/>
        </w:rPr>
      </w:pPr>
    </w:p>
    <w:p w:rsidR="00FB382F" w:rsidRDefault="00FB382F" w:rsidP="00A251EF">
      <w:pPr>
        <w:spacing w:after="0" w:line="240" w:lineRule="auto"/>
      </w:pPr>
      <w:r>
        <w:rPr>
          <w:noProof/>
        </w:rPr>
        <w:drawing>
          <wp:inline distT="0" distB="0" distL="0" distR="0" wp14:anchorId="20DF829D" wp14:editId="39A279E8">
            <wp:extent cx="4572000" cy="2743200"/>
            <wp:effectExtent l="0" t="0" r="19050" b="19050"/>
            <wp:docPr id="187" name="Chart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251EF" w:rsidRPr="00DC6C63" w:rsidRDefault="00A251EF" w:rsidP="00A251EF">
      <w:pPr>
        <w:pStyle w:val="Heading3"/>
        <w:spacing w:before="0" w:line="240" w:lineRule="auto"/>
        <w:rPr>
          <w:rFonts w:eastAsia="Times New Roman"/>
          <w:sz w:val="24"/>
          <w:szCs w:val="24"/>
          <w:lang w:val="en-GB"/>
        </w:rPr>
      </w:pPr>
      <w:bookmarkStart w:id="275" w:name="_Toc489537758"/>
      <w:r w:rsidRPr="00FB382F">
        <w:rPr>
          <w:rFonts w:eastAsia="Times New Roman"/>
          <w:b/>
          <w:lang w:val="en-GB"/>
        </w:rPr>
        <w:t xml:space="preserve">Figure </w:t>
      </w:r>
      <w:r>
        <w:rPr>
          <w:rFonts w:eastAsia="Times New Roman"/>
          <w:b/>
          <w:lang w:val="en-GB"/>
        </w:rPr>
        <w:t>37</w:t>
      </w:r>
      <w:r w:rsidRPr="00FB382F">
        <w:rPr>
          <w:rFonts w:eastAsia="Times New Roman"/>
          <w:b/>
          <w:lang w:val="en-GB"/>
        </w:rPr>
        <w:t>:</w:t>
      </w:r>
      <w:r w:rsidRPr="00DC6C63">
        <w:rPr>
          <w:rFonts w:eastAsia="Times New Roman"/>
          <w:lang w:val="en-GB"/>
        </w:rPr>
        <w:t xml:space="preserve"> </w:t>
      </w:r>
      <w:r>
        <w:rPr>
          <w:rFonts w:eastAsia="Times New Roman"/>
          <w:lang w:val="en-GB"/>
        </w:rPr>
        <w:t>Quantities of various vegetables</w:t>
      </w:r>
      <w:r w:rsidRPr="00DC6C63">
        <w:rPr>
          <w:rFonts w:eastAsia="Times New Roman"/>
          <w:lang w:val="en-GB"/>
        </w:rPr>
        <w:t xml:space="preserve"> traded at Fresh Produce Markets (FPMs)</w:t>
      </w:r>
      <w:bookmarkEnd w:id="275"/>
    </w:p>
    <w:p w:rsidR="00A251EF" w:rsidRPr="00845E49" w:rsidRDefault="00A251EF" w:rsidP="00A251EF">
      <w:pPr>
        <w:spacing w:after="0" w:line="240" w:lineRule="auto"/>
        <w:jc w:val="both"/>
        <w:rPr>
          <w:rFonts w:eastAsia="Calibri" w:cs="Arial"/>
          <w:sz w:val="24"/>
          <w:szCs w:val="24"/>
        </w:rPr>
      </w:pPr>
      <w:r w:rsidRPr="00FB382F">
        <w:rPr>
          <w:rFonts w:eastAsia="Times New Roman" w:cs="Arial"/>
          <w:szCs w:val="18"/>
          <w:lang w:val="en-GB"/>
        </w:rPr>
        <w:t>Source: Daff</w:t>
      </w:r>
    </w:p>
    <w:p w:rsidR="00A251EF" w:rsidRDefault="00A251EF" w:rsidP="00FB382F"/>
    <w:p w:rsidR="00FB382F" w:rsidRPr="002778A9" w:rsidRDefault="00FB382F" w:rsidP="00FB382F">
      <w:pPr>
        <w:spacing w:after="0" w:line="360" w:lineRule="auto"/>
        <w:jc w:val="both"/>
        <w:rPr>
          <w:rFonts w:cs="Arial"/>
          <w:sz w:val="24"/>
          <w:szCs w:val="24"/>
        </w:rPr>
      </w:pPr>
      <w:r w:rsidRPr="00BA47DB">
        <w:rPr>
          <w:rFonts w:cs="Arial"/>
          <w:sz w:val="24"/>
          <w:szCs w:val="24"/>
        </w:rPr>
        <w:t xml:space="preserve">Figure </w:t>
      </w:r>
      <w:r w:rsidR="00E90958">
        <w:rPr>
          <w:rFonts w:cs="Arial"/>
          <w:sz w:val="24"/>
          <w:szCs w:val="24"/>
        </w:rPr>
        <w:t>3</w:t>
      </w:r>
      <w:r w:rsidR="00E90958">
        <w:rPr>
          <w:rFonts w:cs="Arial"/>
          <w:sz w:val="24"/>
          <w:szCs w:val="24"/>
        </w:rPr>
        <w:t>7</w:t>
      </w:r>
      <w:r w:rsidR="00E90958">
        <w:rPr>
          <w:rFonts w:cs="Arial"/>
          <w:sz w:val="24"/>
          <w:szCs w:val="24"/>
        </w:rPr>
        <w:t xml:space="preserve"> </w:t>
      </w:r>
      <w:r>
        <w:rPr>
          <w:rFonts w:cs="Arial"/>
          <w:sz w:val="24"/>
          <w:szCs w:val="24"/>
        </w:rPr>
        <w:t xml:space="preserve">indicates </w:t>
      </w:r>
      <w:r w:rsidR="00535E76">
        <w:rPr>
          <w:rFonts w:cs="Arial"/>
          <w:sz w:val="24"/>
          <w:szCs w:val="24"/>
        </w:rPr>
        <w:t>q</w:t>
      </w:r>
      <w:r>
        <w:rPr>
          <w:rFonts w:cs="Arial"/>
          <w:sz w:val="24"/>
          <w:szCs w:val="24"/>
        </w:rPr>
        <w:t xml:space="preserve">uantities of various vegetables traded at Fresh Produce </w:t>
      </w:r>
      <w:r w:rsidRPr="00BA47DB">
        <w:rPr>
          <w:rFonts w:cs="Arial"/>
          <w:sz w:val="24"/>
          <w:szCs w:val="24"/>
        </w:rPr>
        <w:t>Markets (FPMs)</w:t>
      </w:r>
      <w:r>
        <w:rPr>
          <w:rFonts w:cs="Arial"/>
          <w:sz w:val="24"/>
          <w:szCs w:val="24"/>
        </w:rPr>
        <w:t xml:space="preserve"> </w:t>
      </w:r>
      <w:r w:rsidRPr="00BA47DB">
        <w:rPr>
          <w:rFonts w:cs="Arial"/>
          <w:sz w:val="24"/>
          <w:szCs w:val="24"/>
        </w:rPr>
        <w:t>between the f</w:t>
      </w:r>
      <w:r>
        <w:rPr>
          <w:rFonts w:cs="Arial"/>
          <w:sz w:val="24"/>
          <w:szCs w:val="24"/>
        </w:rPr>
        <w:t>irst</w:t>
      </w:r>
      <w:r w:rsidRPr="00BA47DB">
        <w:rPr>
          <w:rFonts w:cs="Arial"/>
          <w:sz w:val="24"/>
          <w:szCs w:val="24"/>
        </w:rPr>
        <w:t xml:space="preserve"> quarter of 201</w:t>
      </w:r>
      <w:r>
        <w:rPr>
          <w:rFonts w:cs="Arial"/>
          <w:sz w:val="24"/>
          <w:szCs w:val="24"/>
        </w:rPr>
        <w:t xml:space="preserve">6 and the first </w:t>
      </w:r>
      <w:r w:rsidRPr="00BA47DB">
        <w:rPr>
          <w:rFonts w:cs="Arial"/>
          <w:sz w:val="24"/>
          <w:szCs w:val="24"/>
        </w:rPr>
        <w:t>quarter of 201</w:t>
      </w:r>
      <w:r>
        <w:rPr>
          <w:rFonts w:cs="Arial"/>
          <w:sz w:val="24"/>
          <w:szCs w:val="24"/>
        </w:rPr>
        <w:t>7</w:t>
      </w:r>
      <w:r w:rsidRPr="00BA47DB">
        <w:rPr>
          <w:rFonts w:cs="Arial"/>
          <w:sz w:val="24"/>
          <w:szCs w:val="24"/>
        </w:rPr>
        <w:t>.</w:t>
      </w:r>
      <w:r>
        <w:rPr>
          <w:rFonts w:cs="Arial"/>
          <w:sz w:val="24"/>
          <w:szCs w:val="24"/>
        </w:rPr>
        <w:t xml:space="preserve"> There has been an enormous increase in the supply of vegetables at FPMs due to improving weather conditions.</w:t>
      </w:r>
      <w:r w:rsidRPr="002778A9">
        <w:t xml:space="preserve"> </w:t>
      </w:r>
      <w:r>
        <w:rPr>
          <w:rFonts w:cs="Arial"/>
          <w:sz w:val="24"/>
          <w:szCs w:val="24"/>
        </w:rPr>
        <w:t>Between the first quarter of 2016 and the first</w:t>
      </w:r>
      <w:r w:rsidRPr="002778A9">
        <w:rPr>
          <w:rFonts w:cs="Arial"/>
          <w:sz w:val="24"/>
          <w:szCs w:val="24"/>
        </w:rPr>
        <w:t xml:space="preserve"> quarter of 201</w:t>
      </w:r>
      <w:r>
        <w:rPr>
          <w:rFonts w:cs="Arial"/>
          <w:sz w:val="24"/>
          <w:szCs w:val="24"/>
        </w:rPr>
        <w:t>7</w:t>
      </w:r>
      <w:r w:rsidRPr="002778A9">
        <w:rPr>
          <w:rFonts w:cs="Arial"/>
          <w:sz w:val="24"/>
          <w:szCs w:val="24"/>
        </w:rPr>
        <w:t xml:space="preserve">, quantities of </w:t>
      </w:r>
      <w:r>
        <w:rPr>
          <w:rFonts w:cs="Arial"/>
          <w:sz w:val="24"/>
          <w:szCs w:val="24"/>
        </w:rPr>
        <w:t xml:space="preserve">onions, potatoes, </w:t>
      </w:r>
      <w:r w:rsidRPr="002778A9">
        <w:rPr>
          <w:rFonts w:cs="Arial"/>
          <w:sz w:val="24"/>
          <w:szCs w:val="24"/>
        </w:rPr>
        <w:t>tom</w:t>
      </w:r>
      <w:r>
        <w:rPr>
          <w:rFonts w:cs="Arial"/>
          <w:sz w:val="24"/>
          <w:szCs w:val="24"/>
        </w:rPr>
        <w:t>atoes and cabbage increased by 98%, 39%, 77</w:t>
      </w:r>
      <w:r w:rsidRPr="002778A9">
        <w:rPr>
          <w:rFonts w:cs="Arial"/>
          <w:sz w:val="24"/>
          <w:szCs w:val="24"/>
        </w:rPr>
        <w:t>%</w:t>
      </w:r>
      <w:r>
        <w:rPr>
          <w:rFonts w:cs="Arial"/>
          <w:sz w:val="24"/>
          <w:szCs w:val="24"/>
        </w:rPr>
        <w:t xml:space="preserve"> and 63%</w:t>
      </w:r>
      <w:r w:rsidRPr="002778A9">
        <w:rPr>
          <w:rFonts w:cs="Arial"/>
          <w:sz w:val="24"/>
          <w:szCs w:val="24"/>
        </w:rPr>
        <w:t xml:space="preserve"> </w:t>
      </w:r>
      <w:r>
        <w:rPr>
          <w:rFonts w:cs="Arial"/>
          <w:sz w:val="24"/>
          <w:szCs w:val="24"/>
        </w:rPr>
        <w:t xml:space="preserve">respectively, while quantities </w:t>
      </w:r>
      <w:r w:rsidRPr="002778A9">
        <w:rPr>
          <w:rFonts w:cs="Arial"/>
          <w:sz w:val="24"/>
          <w:szCs w:val="24"/>
        </w:rPr>
        <w:t xml:space="preserve">of </w:t>
      </w:r>
      <w:r>
        <w:rPr>
          <w:rFonts w:cs="Arial"/>
          <w:sz w:val="24"/>
          <w:szCs w:val="24"/>
        </w:rPr>
        <w:t>carrots</w:t>
      </w:r>
      <w:r w:rsidRPr="002778A9">
        <w:rPr>
          <w:rFonts w:cs="Arial"/>
          <w:sz w:val="24"/>
          <w:szCs w:val="24"/>
        </w:rPr>
        <w:t xml:space="preserve"> decreased by </w:t>
      </w:r>
      <w:r>
        <w:rPr>
          <w:rFonts w:cs="Arial"/>
          <w:sz w:val="24"/>
          <w:szCs w:val="24"/>
        </w:rPr>
        <w:t>14%</w:t>
      </w:r>
      <w:r w:rsidRPr="002778A9">
        <w:rPr>
          <w:rFonts w:cs="Arial"/>
          <w:sz w:val="24"/>
          <w:szCs w:val="24"/>
        </w:rPr>
        <w:t xml:space="preserve"> </w:t>
      </w:r>
      <w:r>
        <w:rPr>
          <w:rFonts w:cs="Arial"/>
          <w:sz w:val="24"/>
          <w:szCs w:val="24"/>
        </w:rPr>
        <w:t>in the first quarter of 2017, the decrease was due to higher temperatures making it difficult for seed to germinate</w:t>
      </w:r>
      <w:r w:rsidRPr="002778A9">
        <w:rPr>
          <w:rFonts w:cs="Arial"/>
          <w:sz w:val="24"/>
          <w:szCs w:val="24"/>
        </w:rPr>
        <w:t xml:space="preserve">. </w:t>
      </w:r>
      <w:r w:rsidRPr="00964233">
        <w:rPr>
          <w:rFonts w:cs="Arial"/>
          <w:sz w:val="24"/>
          <w:szCs w:val="24"/>
        </w:rPr>
        <w:t xml:space="preserve">Meanwhile, </w:t>
      </w:r>
      <w:r>
        <w:rPr>
          <w:rFonts w:cs="Arial"/>
          <w:sz w:val="24"/>
          <w:szCs w:val="24"/>
        </w:rPr>
        <w:t>weather forecasting is promising</w:t>
      </w:r>
      <w:r w:rsidRPr="00964233">
        <w:rPr>
          <w:rFonts w:cs="Arial"/>
          <w:sz w:val="24"/>
          <w:szCs w:val="24"/>
        </w:rPr>
        <w:t xml:space="preserve"> </w:t>
      </w:r>
      <w:r>
        <w:rPr>
          <w:rFonts w:cs="Arial"/>
          <w:sz w:val="24"/>
          <w:szCs w:val="24"/>
        </w:rPr>
        <w:t>to be favourable</w:t>
      </w:r>
      <w:r w:rsidRPr="00964233">
        <w:rPr>
          <w:rFonts w:cs="Arial"/>
          <w:sz w:val="24"/>
          <w:szCs w:val="24"/>
        </w:rPr>
        <w:t xml:space="preserve"> for </w:t>
      </w:r>
      <w:r>
        <w:rPr>
          <w:rFonts w:cs="Arial"/>
          <w:sz w:val="24"/>
          <w:szCs w:val="24"/>
        </w:rPr>
        <w:t>agricultural production.</w:t>
      </w:r>
    </w:p>
    <w:p w:rsidR="00FB382F" w:rsidRPr="00F10621" w:rsidRDefault="00FB382F" w:rsidP="00FB382F"/>
    <w:p w:rsidR="005C3AA3" w:rsidRDefault="005C3AA3" w:rsidP="005C3AA3">
      <w:pPr>
        <w:spacing w:after="0" w:line="240" w:lineRule="auto"/>
        <w:jc w:val="both"/>
        <w:rPr>
          <w:rFonts w:cs="Arial"/>
          <w:sz w:val="24"/>
          <w:szCs w:val="24"/>
        </w:rPr>
      </w:pPr>
    </w:p>
    <w:p w:rsidR="005C3AA3" w:rsidRDefault="005C3AA3" w:rsidP="005C3AA3">
      <w:pPr>
        <w:spacing w:after="0" w:line="240" w:lineRule="auto"/>
        <w:jc w:val="both"/>
        <w:rPr>
          <w:rFonts w:cs="Arial"/>
          <w:sz w:val="24"/>
          <w:szCs w:val="24"/>
        </w:rPr>
      </w:pPr>
    </w:p>
    <w:p w:rsidR="00A251EF" w:rsidRDefault="00A251EF" w:rsidP="005C3AA3">
      <w:pPr>
        <w:spacing w:after="0" w:line="240" w:lineRule="auto"/>
        <w:jc w:val="both"/>
        <w:rPr>
          <w:rFonts w:cs="Arial"/>
          <w:sz w:val="24"/>
          <w:szCs w:val="24"/>
        </w:rPr>
      </w:pPr>
    </w:p>
    <w:p w:rsidR="00791F5E" w:rsidRDefault="00791F5E" w:rsidP="009A57B8">
      <w:pPr>
        <w:spacing w:after="0" w:line="360" w:lineRule="auto"/>
        <w:jc w:val="both"/>
        <w:rPr>
          <w:rFonts w:cs="Arial"/>
          <w:b/>
          <w:lang w:val="en-GB"/>
        </w:rPr>
      </w:pPr>
    </w:p>
    <w:p w:rsidR="00FB382F" w:rsidRDefault="00FB382F" w:rsidP="009A57B8">
      <w:pPr>
        <w:spacing w:after="0" w:line="360" w:lineRule="auto"/>
        <w:jc w:val="both"/>
        <w:rPr>
          <w:rFonts w:cs="Arial"/>
          <w:b/>
          <w:lang w:val="en-GB"/>
        </w:rPr>
      </w:pPr>
    </w:p>
    <w:p w:rsidR="00791F5E" w:rsidRDefault="00791F5E" w:rsidP="009A57B8">
      <w:pPr>
        <w:spacing w:after="0" w:line="360" w:lineRule="auto"/>
        <w:jc w:val="both"/>
        <w:rPr>
          <w:rFonts w:cs="Arial"/>
          <w:b/>
          <w:lang w:val="en-GB"/>
        </w:rPr>
      </w:pPr>
    </w:p>
    <w:p w:rsidR="00791F5E" w:rsidRDefault="00791F5E" w:rsidP="009A57B8">
      <w:pPr>
        <w:spacing w:after="0" w:line="360" w:lineRule="auto"/>
        <w:jc w:val="both"/>
        <w:rPr>
          <w:rFonts w:cs="Arial"/>
          <w:b/>
          <w:lang w:val="en-GB"/>
        </w:rPr>
      </w:pPr>
    </w:p>
    <w:p w:rsidR="00791F5E" w:rsidRDefault="00791F5E" w:rsidP="009A57B8">
      <w:pPr>
        <w:spacing w:after="0" w:line="360" w:lineRule="auto"/>
        <w:jc w:val="both"/>
        <w:rPr>
          <w:rFonts w:cs="Arial"/>
          <w:b/>
          <w:lang w:val="en-GB"/>
        </w:rPr>
      </w:pPr>
    </w:p>
    <w:p w:rsidR="00791F5E" w:rsidRDefault="00791F5E" w:rsidP="009A57B8">
      <w:pPr>
        <w:spacing w:after="0" w:line="360" w:lineRule="auto"/>
        <w:jc w:val="both"/>
        <w:rPr>
          <w:rFonts w:cs="Arial"/>
          <w:b/>
          <w:lang w:val="en-GB"/>
        </w:rPr>
      </w:pPr>
    </w:p>
    <w:p w:rsidR="001E59A4" w:rsidRDefault="001E59A4" w:rsidP="009A57B8">
      <w:pPr>
        <w:spacing w:after="0" w:line="360" w:lineRule="auto"/>
        <w:jc w:val="both"/>
        <w:rPr>
          <w:rFonts w:cs="Arial"/>
          <w:b/>
          <w:lang w:val="en-GB"/>
        </w:rPr>
      </w:pPr>
    </w:p>
    <w:p w:rsidR="001E59A4" w:rsidRDefault="001E59A4" w:rsidP="009A57B8">
      <w:pPr>
        <w:spacing w:after="0" w:line="360" w:lineRule="auto"/>
        <w:jc w:val="both"/>
        <w:rPr>
          <w:rFonts w:cs="Arial"/>
          <w:b/>
          <w:lang w:val="en-GB"/>
        </w:rPr>
      </w:pPr>
    </w:p>
    <w:p w:rsidR="00791F5E" w:rsidRDefault="00791F5E" w:rsidP="009A57B8">
      <w:pPr>
        <w:spacing w:after="0" w:line="360" w:lineRule="auto"/>
        <w:jc w:val="both"/>
        <w:rPr>
          <w:rFonts w:cs="Arial"/>
          <w:b/>
          <w:lang w:val="en-GB"/>
        </w:rPr>
      </w:pPr>
    </w:p>
    <w:p w:rsidR="00A251EF" w:rsidRDefault="00A251EF" w:rsidP="009A57B8">
      <w:pPr>
        <w:spacing w:after="0" w:line="360" w:lineRule="auto"/>
        <w:jc w:val="both"/>
        <w:rPr>
          <w:rFonts w:cs="Arial"/>
          <w:b/>
          <w:lang w:val="en-GB"/>
        </w:rPr>
      </w:pPr>
    </w:p>
    <w:p w:rsidR="009A57B8" w:rsidRDefault="009A57B8" w:rsidP="00F5315E">
      <w:pPr>
        <w:pStyle w:val="Heading2"/>
      </w:pPr>
      <w:bookmarkStart w:id="276" w:name="_Toc489345821"/>
      <w:bookmarkStart w:id="277" w:name="_Toc489346026"/>
      <w:bookmarkStart w:id="278" w:name="_Toc489537759"/>
      <w:r w:rsidRPr="009A57B8">
        <w:t>3.3 Meat industry review</w:t>
      </w:r>
      <w:bookmarkEnd w:id="276"/>
      <w:bookmarkEnd w:id="277"/>
      <w:bookmarkEnd w:id="278"/>
      <w:r w:rsidRPr="009A57B8">
        <w:t xml:space="preserve"> </w:t>
      </w:r>
    </w:p>
    <w:p w:rsidR="009A57B8" w:rsidRPr="009A57B8" w:rsidRDefault="009A57B8" w:rsidP="009A57B8">
      <w:pPr>
        <w:spacing w:after="0" w:line="360" w:lineRule="auto"/>
        <w:jc w:val="both"/>
        <w:rPr>
          <w:rFonts w:cs="Arial"/>
          <w:b/>
        </w:rPr>
      </w:pPr>
    </w:p>
    <w:p w:rsidR="009A57B8" w:rsidRPr="00776836" w:rsidRDefault="009A57B8" w:rsidP="00791F5E">
      <w:pPr>
        <w:pStyle w:val="Heading3"/>
        <w:spacing w:before="0"/>
      </w:pPr>
      <w:bookmarkStart w:id="279" w:name="_Toc489345822"/>
      <w:bookmarkStart w:id="280" w:name="_Toc489346027"/>
      <w:bookmarkStart w:id="281" w:name="_Toc489537760"/>
      <w:r w:rsidRPr="00776836">
        <w:rPr>
          <w:noProof/>
        </w:rPr>
        <w:drawing>
          <wp:inline distT="0" distB="0" distL="0" distR="0" wp14:anchorId="292B8DF4" wp14:editId="06F186DC">
            <wp:extent cx="4572000" cy="2743200"/>
            <wp:effectExtent l="0" t="0" r="19050" b="19050"/>
            <wp:docPr id="158" name="Chart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bookmarkEnd w:id="279"/>
      <w:bookmarkEnd w:id="280"/>
      <w:bookmarkEnd w:id="281"/>
    </w:p>
    <w:p w:rsidR="009A57B8" w:rsidRPr="00776836" w:rsidRDefault="00791F5E" w:rsidP="00791F5E">
      <w:pPr>
        <w:pStyle w:val="Heading3"/>
        <w:spacing w:before="0"/>
      </w:pPr>
      <w:bookmarkStart w:id="282" w:name="_Toc489345823"/>
      <w:bookmarkStart w:id="283" w:name="_Toc489346028"/>
      <w:bookmarkStart w:id="284" w:name="_Toc489537761"/>
      <w:r w:rsidRPr="00791F5E">
        <w:rPr>
          <w:b/>
        </w:rPr>
        <w:t>Figure 3</w:t>
      </w:r>
      <w:r w:rsidR="00A251EF">
        <w:rPr>
          <w:b/>
        </w:rPr>
        <w:t>8</w:t>
      </w:r>
      <w:r w:rsidR="009A57B8" w:rsidRPr="00791F5E">
        <w:rPr>
          <w:b/>
        </w:rPr>
        <w:t>:</w:t>
      </w:r>
      <w:r w:rsidR="009A57B8" w:rsidRPr="00776836">
        <w:t xml:space="preserve"> Beef production</w:t>
      </w:r>
      <w:bookmarkEnd w:id="282"/>
      <w:bookmarkEnd w:id="283"/>
      <w:bookmarkEnd w:id="284"/>
    </w:p>
    <w:p w:rsidR="009A57B8" w:rsidRPr="00A251EF" w:rsidRDefault="009A57B8" w:rsidP="00A251EF">
      <w:pPr>
        <w:rPr>
          <w:rFonts w:cs="Arial"/>
          <w:szCs w:val="18"/>
        </w:rPr>
      </w:pPr>
      <w:bookmarkStart w:id="285" w:name="_Toc489345824"/>
      <w:bookmarkStart w:id="286" w:name="_Toc489346029"/>
      <w:r w:rsidRPr="00A251EF">
        <w:rPr>
          <w:rFonts w:cs="Arial"/>
          <w:szCs w:val="18"/>
        </w:rPr>
        <w:t>Source: Daff</w:t>
      </w:r>
      <w:bookmarkEnd w:id="285"/>
      <w:bookmarkEnd w:id="286"/>
      <w:r w:rsidRPr="00A251EF">
        <w:rPr>
          <w:rFonts w:cs="Arial"/>
          <w:szCs w:val="18"/>
        </w:rPr>
        <w:t xml:space="preserve"> </w:t>
      </w:r>
    </w:p>
    <w:p w:rsidR="00776836" w:rsidRDefault="00776836" w:rsidP="009A57B8">
      <w:pPr>
        <w:spacing w:after="0" w:line="360" w:lineRule="auto"/>
        <w:jc w:val="both"/>
        <w:rPr>
          <w:rFonts w:cs="Arial"/>
        </w:rPr>
      </w:pPr>
    </w:p>
    <w:p w:rsidR="009A57B8" w:rsidRPr="008E2539" w:rsidRDefault="009A57B8" w:rsidP="009A57B8">
      <w:pPr>
        <w:spacing w:after="0" w:line="360" w:lineRule="auto"/>
        <w:jc w:val="both"/>
        <w:rPr>
          <w:rFonts w:cs="Arial"/>
          <w:sz w:val="24"/>
          <w:szCs w:val="24"/>
        </w:rPr>
      </w:pPr>
      <w:r w:rsidRPr="008E2539">
        <w:rPr>
          <w:rFonts w:cs="Arial"/>
          <w:sz w:val="24"/>
          <w:szCs w:val="24"/>
        </w:rPr>
        <w:t xml:space="preserve">Globally, beef production is forecast to grow less than 2% in 2017 to nearly 62 million tons, largely from gains in the United States, Brazil, and Argentina. </w:t>
      </w:r>
      <w:r w:rsidR="006F592E">
        <w:rPr>
          <w:rFonts w:cs="Arial"/>
          <w:sz w:val="24"/>
          <w:szCs w:val="24"/>
        </w:rPr>
        <w:t>For South Africa</w:t>
      </w:r>
      <w:proofErr w:type="gramStart"/>
      <w:r w:rsidR="006F592E">
        <w:rPr>
          <w:rFonts w:cs="Arial"/>
          <w:sz w:val="24"/>
          <w:szCs w:val="24"/>
        </w:rPr>
        <w:t xml:space="preserve">, </w:t>
      </w:r>
      <w:r w:rsidRPr="008E2539">
        <w:rPr>
          <w:rFonts w:cs="Arial"/>
          <w:sz w:val="24"/>
          <w:szCs w:val="24"/>
        </w:rPr>
        <w:t xml:space="preserve"> </w:t>
      </w:r>
      <w:r w:rsidR="006F592E">
        <w:rPr>
          <w:rFonts w:cs="Arial"/>
          <w:sz w:val="24"/>
          <w:szCs w:val="24"/>
        </w:rPr>
        <w:t>b</w:t>
      </w:r>
      <w:r w:rsidRPr="008E2539">
        <w:rPr>
          <w:rFonts w:cs="Arial"/>
          <w:sz w:val="24"/>
          <w:szCs w:val="24"/>
        </w:rPr>
        <w:t>eef</w:t>
      </w:r>
      <w:proofErr w:type="gramEnd"/>
      <w:r w:rsidRPr="008E2539">
        <w:rPr>
          <w:rFonts w:cs="Arial"/>
          <w:sz w:val="24"/>
          <w:szCs w:val="24"/>
        </w:rPr>
        <w:t xml:space="preserve"> production for 2017 is lowered primarily on lighter carcass weights which more than offsets higher expected slaughter in the later part of 2017</w:t>
      </w:r>
      <w:r w:rsidR="006F592E">
        <w:rPr>
          <w:rFonts w:cs="Arial"/>
          <w:sz w:val="24"/>
          <w:szCs w:val="24"/>
        </w:rPr>
        <w:t>, see Figure 38</w:t>
      </w:r>
      <w:r w:rsidRPr="008E2539">
        <w:rPr>
          <w:rFonts w:cs="Arial"/>
          <w:sz w:val="24"/>
          <w:szCs w:val="24"/>
        </w:rPr>
        <w:t xml:space="preserve">. The growth in Brazil is driven by higher exports to Asia and moderate expansion in domestic demand as the Brazilian economy recovers. However, </w:t>
      </w:r>
      <w:r w:rsidR="00DE3AB9">
        <w:rPr>
          <w:rFonts w:cs="Arial"/>
          <w:sz w:val="24"/>
          <w:szCs w:val="24"/>
        </w:rPr>
        <w:t>b</w:t>
      </w:r>
      <w:r w:rsidRPr="008E2539">
        <w:rPr>
          <w:rFonts w:cs="Arial"/>
          <w:sz w:val="24"/>
          <w:szCs w:val="24"/>
        </w:rPr>
        <w:t>eef production will decline most</w:t>
      </w:r>
      <w:r w:rsidR="00DE3AB9">
        <w:rPr>
          <w:rFonts w:cs="Arial"/>
          <w:sz w:val="24"/>
          <w:szCs w:val="24"/>
        </w:rPr>
        <w:t>ly</w:t>
      </w:r>
      <w:r w:rsidRPr="008E2539">
        <w:rPr>
          <w:rFonts w:cs="Arial"/>
          <w:sz w:val="24"/>
          <w:szCs w:val="24"/>
        </w:rPr>
        <w:t xml:space="preserve"> in South Africa and Australia as herds are rebuilt after drought-induced liquidation of stocks.  On the other hand</w:t>
      </w:r>
      <w:r w:rsidR="00DE3AB9">
        <w:rPr>
          <w:rFonts w:cs="Arial"/>
          <w:sz w:val="24"/>
          <w:szCs w:val="24"/>
        </w:rPr>
        <w:t>,</w:t>
      </w:r>
      <w:r w:rsidRPr="008E2539">
        <w:rPr>
          <w:rFonts w:cs="Arial"/>
          <w:sz w:val="24"/>
          <w:szCs w:val="24"/>
        </w:rPr>
        <w:t xml:space="preserve"> production in New Zealand will also fall moderately as producers retain cows and heifers for herd rebuilding (USDA, 2017). According to USDA (2017) in 2017 global exports are forecast 2% higher to 9</w:t>
      </w:r>
      <w:proofErr w:type="gramStart"/>
      <w:r w:rsidR="00DE3AB9">
        <w:rPr>
          <w:rFonts w:cs="Arial"/>
          <w:sz w:val="24"/>
          <w:szCs w:val="24"/>
        </w:rPr>
        <w:t>,</w:t>
      </w:r>
      <w:r w:rsidRPr="008E2539">
        <w:rPr>
          <w:rFonts w:cs="Arial"/>
          <w:sz w:val="24"/>
          <w:szCs w:val="24"/>
        </w:rPr>
        <w:t>6</w:t>
      </w:r>
      <w:proofErr w:type="gramEnd"/>
      <w:r w:rsidRPr="008E2539">
        <w:rPr>
          <w:rFonts w:cs="Arial"/>
          <w:sz w:val="24"/>
          <w:szCs w:val="24"/>
        </w:rPr>
        <w:t xml:space="preserve"> million tons.  Shipments from South America, India, and the United States will more than offset declining exports from Australia and New Zealand, both hampered by lower supplies.</w:t>
      </w:r>
    </w:p>
    <w:p w:rsidR="009A57B8" w:rsidRPr="00776836" w:rsidRDefault="009A57B8" w:rsidP="00A8597A">
      <w:pPr>
        <w:spacing w:after="0" w:line="240" w:lineRule="auto"/>
        <w:jc w:val="both"/>
        <w:rPr>
          <w:rFonts w:cs="Arial"/>
          <w:b/>
          <w:szCs w:val="18"/>
        </w:rPr>
      </w:pPr>
      <w:r w:rsidRPr="00776836">
        <w:rPr>
          <w:rFonts w:cs="Arial"/>
          <w:b/>
          <w:noProof/>
          <w:szCs w:val="18"/>
        </w:rPr>
        <w:drawing>
          <wp:inline distT="0" distB="0" distL="0" distR="0" wp14:anchorId="7ACF68C1" wp14:editId="01F2B538">
            <wp:extent cx="5526593" cy="2793442"/>
            <wp:effectExtent l="0" t="0" r="17145" b="26035"/>
            <wp:docPr id="159" name="Chart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A57B8" w:rsidRPr="00776836" w:rsidRDefault="009A57B8" w:rsidP="00A8597A">
      <w:pPr>
        <w:pStyle w:val="Heading3"/>
        <w:spacing w:before="0" w:line="240" w:lineRule="auto"/>
      </w:pPr>
      <w:bookmarkStart w:id="287" w:name="_Toc489345825"/>
      <w:bookmarkStart w:id="288" w:name="_Toc489346030"/>
      <w:bookmarkStart w:id="289" w:name="_Toc489537762"/>
      <w:r w:rsidRPr="00776836">
        <w:rPr>
          <w:b/>
        </w:rPr>
        <w:t xml:space="preserve">Figure </w:t>
      </w:r>
      <w:r w:rsidR="00A251EF">
        <w:rPr>
          <w:b/>
        </w:rPr>
        <w:t>39</w:t>
      </w:r>
      <w:r w:rsidRPr="00776836">
        <w:rPr>
          <w:b/>
        </w:rPr>
        <w:t>:</w:t>
      </w:r>
      <w:r w:rsidRPr="00776836">
        <w:t xml:space="preserve"> SA weaner calf purchases, beef carcase sales and live sales</w:t>
      </w:r>
      <w:bookmarkEnd w:id="287"/>
      <w:bookmarkEnd w:id="288"/>
      <w:bookmarkEnd w:id="289"/>
    </w:p>
    <w:p w:rsidR="009A57B8" w:rsidRPr="00A251EF" w:rsidRDefault="009A57B8" w:rsidP="00A251EF">
      <w:pPr>
        <w:rPr>
          <w:rFonts w:cs="Arial"/>
          <w:szCs w:val="18"/>
        </w:rPr>
      </w:pPr>
      <w:bookmarkStart w:id="290" w:name="_Toc489345826"/>
      <w:bookmarkStart w:id="291" w:name="_Toc489346031"/>
      <w:r w:rsidRPr="00A251EF">
        <w:rPr>
          <w:rFonts w:cs="Arial"/>
          <w:szCs w:val="18"/>
        </w:rPr>
        <w:t>Source: SA feedlot</w:t>
      </w:r>
      <w:bookmarkEnd w:id="290"/>
      <w:bookmarkEnd w:id="291"/>
      <w:r w:rsidRPr="00A251EF">
        <w:rPr>
          <w:rFonts w:cs="Arial"/>
          <w:szCs w:val="18"/>
        </w:rPr>
        <w:t xml:space="preserve"> </w:t>
      </w:r>
    </w:p>
    <w:p w:rsidR="00A8597A" w:rsidRPr="00A8597A" w:rsidRDefault="00A8597A" w:rsidP="00A8597A"/>
    <w:p w:rsidR="009A57B8" w:rsidRPr="009A57B8" w:rsidRDefault="009A57B8" w:rsidP="009A57B8">
      <w:pPr>
        <w:spacing w:after="0" w:line="360" w:lineRule="auto"/>
        <w:jc w:val="both"/>
        <w:rPr>
          <w:rFonts w:cs="Arial"/>
        </w:rPr>
      </w:pPr>
      <w:r w:rsidRPr="008E2539">
        <w:rPr>
          <w:rFonts w:cs="Arial"/>
          <w:sz w:val="24"/>
          <w:szCs w:val="24"/>
        </w:rPr>
        <w:t>Figure</w:t>
      </w:r>
      <w:r w:rsidR="00A8597A" w:rsidRPr="008E2539">
        <w:rPr>
          <w:rFonts w:cs="Arial"/>
          <w:sz w:val="24"/>
          <w:szCs w:val="24"/>
        </w:rPr>
        <w:t xml:space="preserve"> 3</w:t>
      </w:r>
      <w:r w:rsidR="00A251EF">
        <w:rPr>
          <w:rFonts w:cs="Arial"/>
          <w:sz w:val="24"/>
          <w:szCs w:val="24"/>
        </w:rPr>
        <w:t>9</w:t>
      </w:r>
      <w:r w:rsidRPr="008E2539">
        <w:rPr>
          <w:rFonts w:cs="Arial"/>
          <w:sz w:val="24"/>
          <w:szCs w:val="24"/>
        </w:rPr>
        <w:t xml:space="preserve"> above represents total number of beef slaughtered and their </w:t>
      </w:r>
      <w:proofErr w:type="spellStart"/>
      <w:r w:rsidRPr="008E2539">
        <w:rPr>
          <w:rFonts w:cs="Arial"/>
          <w:sz w:val="24"/>
          <w:szCs w:val="24"/>
        </w:rPr>
        <w:t>rands</w:t>
      </w:r>
      <w:proofErr w:type="spellEnd"/>
      <w:r w:rsidRPr="008E2539">
        <w:rPr>
          <w:rFonts w:cs="Arial"/>
          <w:sz w:val="24"/>
          <w:szCs w:val="24"/>
        </w:rPr>
        <w:t xml:space="preserve"> and cents per value. As shown graphically above, from the fourth quarter of 2012 up to the first quarter of 2017, number of beef slaughtered has been volatile. Compared to the first quarter of 2016 total beef slaughtering declined by 6% in the first quarter of 2017, and it expected that slaughtering will continue to decline until 2018 as herd rebuilding continues after the recovery of good rains and improved grazing conditions. In the first quarter of 2017as shown in figure 2, weaner calf purchases, beef carcase sales and live sales increased by 32</w:t>
      </w:r>
      <w:r w:rsidR="00025F9D">
        <w:rPr>
          <w:rFonts w:cs="Arial"/>
          <w:sz w:val="24"/>
          <w:szCs w:val="24"/>
        </w:rPr>
        <w:t>,</w:t>
      </w:r>
      <w:r w:rsidRPr="008E2539">
        <w:rPr>
          <w:rFonts w:cs="Arial"/>
          <w:sz w:val="24"/>
          <w:szCs w:val="24"/>
        </w:rPr>
        <w:t>0%, 11</w:t>
      </w:r>
      <w:r w:rsidR="00025F9D">
        <w:rPr>
          <w:rFonts w:cs="Arial"/>
          <w:sz w:val="24"/>
          <w:szCs w:val="24"/>
        </w:rPr>
        <w:t>,</w:t>
      </w:r>
      <w:r w:rsidRPr="008E2539">
        <w:rPr>
          <w:rFonts w:cs="Arial"/>
          <w:sz w:val="24"/>
          <w:szCs w:val="24"/>
        </w:rPr>
        <w:t>5% and 14</w:t>
      </w:r>
      <w:r w:rsidR="00025F9D">
        <w:rPr>
          <w:rFonts w:cs="Arial"/>
          <w:sz w:val="24"/>
          <w:szCs w:val="24"/>
        </w:rPr>
        <w:t>,</w:t>
      </w:r>
      <w:r w:rsidRPr="008E2539">
        <w:rPr>
          <w:rFonts w:cs="Arial"/>
          <w:sz w:val="24"/>
          <w:szCs w:val="24"/>
        </w:rPr>
        <w:t>9% compared to the same quarter in 2016. Looking ahead, weaner calf prices are expected to increase substantially as producers are rebuilding herds supported by lower maize prices; also both the demand of and supply for calves tend to be influenced by maize prices; and improved feedlot margins support growing demand for calves</w:t>
      </w:r>
      <w:r w:rsidRPr="009A57B8">
        <w:rPr>
          <w:rFonts w:cs="Arial"/>
        </w:rPr>
        <w:t>.</w:t>
      </w:r>
    </w:p>
    <w:p w:rsidR="009A57B8" w:rsidRDefault="009A57B8" w:rsidP="009A57B8">
      <w:pPr>
        <w:spacing w:after="0" w:line="360" w:lineRule="auto"/>
        <w:jc w:val="both"/>
        <w:rPr>
          <w:rFonts w:cs="Arial"/>
          <w:b/>
        </w:rPr>
      </w:pPr>
    </w:p>
    <w:p w:rsidR="009A57B8" w:rsidRPr="008E2539" w:rsidRDefault="009A57B8" w:rsidP="00DE79FD">
      <w:pPr>
        <w:pStyle w:val="Heading2"/>
        <w:spacing w:line="360" w:lineRule="auto"/>
        <w:rPr>
          <w:szCs w:val="24"/>
          <w:lang w:val="en-GB"/>
        </w:rPr>
      </w:pPr>
      <w:bookmarkStart w:id="292" w:name="_Toc489345827"/>
      <w:bookmarkStart w:id="293" w:name="_Toc489346032"/>
      <w:bookmarkStart w:id="294" w:name="_Toc489537763"/>
      <w:r w:rsidRPr="008E2539">
        <w:rPr>
          <w:szCs w:val="24"/>
          <w:lang w:val="en-GB"/>
        </w:rPr>
        <w:t>3.4 Poultry industry review</w:t>
      </w:r>
      <w:bookmarkEnd w:id="292"/>
      <w:bookmarkEnd w:id="293"/>
      <w:bookmarkEnd w:id="294"/>
    </w:p>
    <w:p w:rsidR="00851977" w:rsidRPr="008E2539" w:rsidRDefault="00851977" w:rsidP="00DE79FD">
      <w:pPr>
        <w:spacing w:after="0" w:line="360" w:lineRule="auto"/>
        <w:jc w:val="both"/>
        <w:rPr>
          <w:rFonts w:cs="Arial"/>
          <w:sz w:val="24"/>
          <w:szCs w:val="24"/>
        </w:rPr>
      </w:pPr>
      <w:r w:rsidRPr="008E2539">
        <w:rPr>
          <w:rFonts w:cs="Arial"/>
          <w:sz w:val="24"/>
          <w:szCs w:val="24"/>
        </w:rPr>
        <w:t>Poultry production in the 1</w:t>
      </w:r>
      <w:r w:rsidRPr="008E2539">
        <w:rPr>
          <w:rFonts w:cs="Arial"/>
          <w:sz w:val="24"/>
          <w:szCs w:val="24"/>
          <w:vertAlign w:val="superscript"/>
        </w:rPr>
        <w:t>st</w:t>
      </w:r>
      <w:r w:rsidRPr="008E2539">
        <w:rPr>
          <w:rFonts w:cs="Arial"/>
          <w:sz w:val="24"/>
          <w:szCs w:val="24"/>
        </w:rPr>
        <w:t xml:space="preserve"> quarter of 2017 has declined by 10% compared to the previous quarter, whilst year-on-year production it was 1</w:t>
      </w:r>
      <w:proofErr w:type="gramStart"/>
      <w:r w:rsidR="00025F9D">
        <w:rPr>
          <w:rFonts w:cs="Arial"/>
          <w:sz w:val="24"/>
          <w:szCs w:val="24"/>
        </w:rPr>
        <w:t>,</w:t>
      </w:r>
      <w:r w:rsidRPr="008E2539">
        <w:rPr>
          <w:rFonts w:cs="Arial"/>
          <w:sz w:val="24"/>
          <w:szCs w:val="24"/>
        </w:rPr>
        <w:t>8</w:t>
      </w:r>
      <w:proofErr w:type="gramEnd"/>
      <w:r w:rsidRPr="008E2539">
        <w:rPr>
          <w:rFonts w:cs="Arial"/>
          <w:sz w:val="24"/>
          <w:szCs w:val="24"/>
        </w:rPr>
        <w:t>% higher. The price per ton has increased by 9</w:t>
      </w:r>
      <w:proofErr w:type="gramStart"/>
      <w:r w:rsidR="00025F9D">
        <w:rPr>
          <w:rFonts w:cs="Arial"/>
          <w:sz w:val="24"/>
          <w:szCs w:val="24"/>
        </w:rPr>
        <w:t>,</w:t>
      </w:r>
      <w:r w:rsidRPr="008E2539">
        <w:rPr>
          <w:rFonts w:cs="Arial"/>
          <w:sz w:val="24"/>
          <w:szCs w:val="24"/>
        </w:rPr>
        <w:t>3</w:t>
      </w:r>
      <w:proofErr w:type="gramEnd"/>
      <w:r w:rsidRPr="008E2539">
        <w:rPr>
          <w:rFonts w:cs="Arial"/>
          <w:sz w:val="24"/>
          <w:szCs w:val="24"/>
        </w:rPr>
        <w:t>% compared to the previous quarter whilst on a year</w:t>
      </w:r>
      <w:r w:rsidR="00025F9D">
        <w:rPr>
          <w:rFonts w:cs="Arial"/>
          <w:sz w:val="24"/>
          <w:szCs w:val="24"/>
        </w:rPr>
        <w:t>-</w:t>
      </w:r>
      <w:r w:rsidRPr="008E2539">
        <w:rPr>
          <w:rFonts w:cs="Arial"/>
          <w:sz w:val="24"/>
          <w:szCs w:val="24"/>
        </w:rPr>
        <w:t>on</w:t>
      </w:r>
      <w:r w:rsidR="00025F9D">
        <w:rPr>
          <w:rFonts w:cs="Arial"/>
          <w:sz w:val="24"/>
          <w:szCs w:val="24"/>
        </w:rPr>
        <w:t>-</w:t>
      </w:r>
      <w:r w:rsidRPr="008E2539">
        <w:rPr>
          <w:rFonts w:cs="Arial"/>
          <w:sz w:val="24"/>
          <w:szCs w:val="24"/>
        </w:rPr>
        <w:t>year basis the price is 18</w:t>
      </w:r>
      <w:r w:rsidR="00025F9D">
        <w:rPr>
          <w:rFonts w:cs="Arial"/>
          <w:sz w:val="24"/>
          <w:szCs w:val="24"/>
        </w:rPr>
        <w:t>,</w:t>
      </w:r>
      <w:r w:rsidRPr="008E2539">
        <w:rPr>
          <w:rFonts w:cs="Arial"/>
          <w:sz w:val="24"/>
          <w:szCs w:val="24"/>
        </w:rPr>
        <w:t>5% higher</w:t>
      </w:r>
      <w:r w:rsidR="006F592E">
        <w:rPr>
          <w:rFonts w:cs="Arial"/>
          <w:sz w:val="24"/>
          <w:szCs w:val="24"/>
        </w:rPr>
        <w:t>, see Figure 40</w:t>
      </w:r>
      <w:r w:rsidRPr="008E2539">
        <w:rPr>
          <w:rFonts w:cs="Arial"/>
          <w:sz w:val="24"/>
          <w:szCs w:val="24"/>
        </w:rPr>
        <w:t xml:space="preserve">.  </w:t>
      </w:r>
    </w:p>
    <w:p w:rsidR="00851977" w:rsidRPr="00851977" w:rsidRDefault="00851977" w:rsidP="00A8597A">
      <w:pPr>
        <w:spacing w:after="0" w:line="240" w:lineRule="auto"/>
        <w:jc w:val="both"/>
        <w:rPr>
          <w:rFonts w:cs="Arial"/>
          <w:b/>
        </w:rPr>
      </w:pPr>
      <w:r w:rsidRPr="00851977">
        <w:rPr>
          <w:rFonts w:cs="Arial"/>
          <w:b/>
        </w:rPr>
        <w:t xml:space="preserve"> </w:t>
      </w:r>
      <w:r w:rsidRPr="00851977">
        <w:rPr>
          <w:rFonts w:cs="Arial"/>
          <w:b/>
          <w:noProof/>
        </w:rPr>
        <w:drawing>
          <wp:inline distT="0" distB="0" distL="0" distR="0" wp14:anchorId="571ED79F" wp14:editId="5542C408">
            <wp:extent cx="5426110" cy="2743200"/>
            <wp:effectExtent l="0" t="0" r="22225" b="19050"/>
            <wp:docPr id="178" name="Chart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51977" w:rsidRPr="00851977" w:rsidRDefault="00851977" w:rsidP="00A8597A">
      <w:pPr>
        <w:pStyle w:val="Heading3"/>
        <w:spacing w:before="0" w:line="240" w:lineRule="auto"/>
      </w:pPr>
      <w:bookmarkStart w:id="295" w:name="_Toc489345828"/>
      <w:bookmarkStart w:id="296" w:name="_Toc489346033"/>
      <w:bookmarkStart w:id="297" w:name="_Toc489537764"/>
      <w:r w:rsidRPr="00851977">
        <w:rPr>
          <w:b/>
        </w:rPr>
        <w:t xml:space="preserve">Figure </w:t>
      </w:r>
      <w:r w:rsidR="00A251EF">
        <w:rPr>
          <w:b/>
        </w:rPr>
        <w:t>40</w:t>
      </w:r>
      <w:r w:rsidRPr="00851977">
        <w:rPr>
          <w:b/>
        </w:rPr>
        <w:t xml:space="preserve">: </w:t>
      </w:r>
      <w:r w:rsidRPr="00851977">
        <w:t>Poultry Production</w:t>
      </w:r>
      <w:bookmarkEnd w:id="295"/>
      <w:bookmarkEnd w:id="296"/>
      <w:bookmarkEnd w:id="297"/>
    </w:p>
    <w:p w:rsidR="00851977" w:rsidRPr="00A251EF" w:rsidRDefault="00851977" w:rsidP="00A251EF">
      <w:pPr>
        <w:rPr>
          <w:rFonts w:cs="Arial"/>
          <w:szCs w:val="18"/>
        </w:rPr>
      </w:pPr>
      <w:bookmarkStart w:id="298" w:name="_Toc489345829"/>
      <w:bookmarkStart w:id="299" w:name="_Toc489346034"/>
      <w:r w:rsidRPr="00A251EF">
        <w:rPr>
          <w:rFonts w:cs="Arial"/>
          <w:szCs w:val="18"/>
        </w:rPr>
        <w:t>Source: DAFF</w:t>
      </w:r>
      <w:bookmarkEnd w:id="298"/>
      <w:bookmarkEnd w:id="299"/>
    </w:p>
    <w:p w:rsidR="00851977" w:rsidRPr="00851977" w:rsidRDefault="00851977" w:rsidP="00851977">
      <w:pPr>
        <w:spacing w:after="0" w:line="360" w:lineRule="auto"/>
        <w:jc w:val="both"/>
        <w:rPr>
          <w:rFonts w:cs="Arial"/>
          <w:b/>
        </w:rPr>
      </w:pPr>
    </w:p>
    <w:p w:rsidR="00851977" w:rsidRPr="008E2539" w:rsidRDefault="00851977" w:rsidP="00851977">
      <w:pPr>
        <w:spacing w:after="0" w:line="360" w:lineRule="auto"/>
        <w:jc w:val="both"/>
        <w:rPr>
          <w:rFonts w:cs="Arial"/>
          <w:sz w:val="24"/>
          <w:szCs w:val="24"/>
        </w:rPr>
      </w:pPr>
      <w:r w:rsidRPr="006F592E">
        <w:rPr>
          <w:rFonts w:cs="Arial"/>
          <w:sz w:val="24"/>
          <w:szCs w:val="24"/>
        </w:rPr>
        <w:t xml:space="preserve">The retail prices of fresh whole and fresh chicken portions are rising slowly </w:t>
      </w:r>
      <w:r w:rsidRPr="00687472">
        <w:rPr>
          <w:rFonts w:cs="Arial"/>
          <w:sz w:val="24"/>
          <w:szCs w:val="24"/>
        </w:rPr>
        <w:t xml:space="preserve">whilst the yellow maize price as a proxy for broiler breeder and  broiler feed prices continues to fluctuate higher as shown on figure </w:t>
      </w:r>
      <w:r w:rsidR="00A251EF" w:rsidRPr="00687472">
        <w:rPr>
          <w:rFonts w:cs="Arial"/>
          <w:sz w:val="24"/>
          <w:szCs w:val="24"/>
        </w:rPr>
        <w:t>41</w:t>
      </w:r>
      <w:r w:rsidRPr="00687472">
        <w:rPr>
          <w:rFonts w:cs="Arial"/>
          <w:sz w:val="24"/>
          <w:szCs w:val="24"/>
        </w:rPr>
        <w:t xml:space="preserve"> below. Maize prices have come down sharply from their current highs of January 2017</w:t>
      </w:r>
      <w:r w:rsidRPr="008E2539">
        <w:rPr>
          <w:rFonts w:cs="Arial"/>
          <w:sz w:val="24"/>
          <w:szCs w:val="24"/>
        </w:rPr>
        <w:t>. In the three months ending in April 2017, they have come down to their lowest trading an average of 2367. The change in the yellow maize prices usually takes an estimated lag period of 4</w:t>
      </w:r>
      <w:r w:rsidR="000B086E">
        <w:rPr>
          <w:rFonts w:cs="Arial"/>
          <w:sz w:val="24"/>
          <w:szCs w:val="24"/>
        </w:rPr>
        <w:t xml:space="preserve"> to</w:t>
      </w:r>
      <w:r w:rsidRPr="008E2539">
        <w:rPr>
          <w:rFonts w:cs="Arial"/>
          <w:sz w:val="24"/>
          <w:szCs w:val="24"/>
        </w:rPr>
        <w:t xml:space="preserve"> 5 months before it is fully felt in the market, which translates in lower poultry feeds prices. The price of poultry is also expected to be affected by suspected cases of </w:t>
      </w:r>
      <w:proofErr w:type="gramStart"/>
      <w:r w:rsidRPr="008E2539">
        <w:rPr>
          <w:rFonts w:cs="Arial"/>
          <w:sz w:val="24"/>
          <w:szCs w:val="24"/>
        </w:rPr>
        <w:t>Avian</w:t>
      </w:r>
      <w:proofErr w:type="gramEnd"/>
      <w:r w:rsidRPr="008E2539">
        <w:rPr>
          <w:rFonts w:cs="Arial"/>
          <w:sz w:val="24"/>
          <w:szCs w:val="24"/>
        </w:rPr>
        <w:t xml:space="preserve"> influenza in few areas within the country. </w:t>
      </w:r>
    </w:p>
    <w:p w:rsidR="00A8597A" w:rsidRDefault="00A8597A" w:rsidP="00851977">
      <w:pPr>
        <w:spacing w:after="0" w:line="360" w:lineRule="auto"/>
        <w:jc w:val="both"/>
        <w:rPr>
          <w:rFonts w:cs="Arial"/>
        </w:rPr>
      </w:pPr>
    </w:p>
    <w:p w:rsidR="00A8597A" w:rsidRPr="00851977" w:rsidRDefault="00A8597A" w:rsidP="00851977">
      <w:pPr>
        <w:spacing w:after="0" w:line="360" w:lineRule="auto"/>
        <w:jc w:val="both"/>
        <w:rPr>
          <w:rFonts w:cs="Arial"/>
        </w:rPr>
      </w:pPr>
    </w:p>
    <w:p w:rsidR="00851977" w:rsidRPr="00851977" w:rsidRDefault="00851977" w:rsidP="00A8597A">
      <w:pPr>
        <w:spacing w:after="0" w:line="240" w:lineRule="auto"/>
        <w:jc w:val="both"/>
        <w:rPr>
          <w:rFonts w:cs="Arial"/>
          <w:b/>
        </w:rPr>
      </w:pPr>
      <w:r w:rsidRPr="00851977">
        <w:rPr>
          <w:rFonts w:cs="Arial"/>
          <w:b/>
          <w:noProof/>
        </w:rPr>
        <w:drawing>
          <wp:inline distT="0" distB="0" distL="0" distR="0" wp14:anchorId="7D674C81" wp14:editId="7EEEFCC0">
            <wp:extent cx="5054321" cy="3185327"/>
            <wp:effectExtent l="0" t="0" r="13335" b="15240"/>
            <wp:docPr id="179" name="Chart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51977" w:rsidRPr="00851977" w:rsidRDefault="00851977" w:rsidP="00A8597A">
      <w:pPr>
        <w:pStyle w:val="Heading3"/>
        <w:spacing w:before="0" w:line="240" w:lineRule="auto"/>
      </w:pPr>
      <w:bookmarkStart w:id="300" w:name="_Toc489345830"/>
      <w:bookmarkStart w:id="301" w:name="_Toc489346035"/>
      <w:bookmarkStart w:id="302" w:name="_Toc489537765"/>
      <w:r w:rsidRPr="00851977">
        <w:rPr>
          <w:b/>
        </w:rPr>
        <w:t xml:space="preserve">Figure </w:t>
      </w:r>
      <w:r w:rsidR="006F592E">
        <w:rPr>
          <w:b/>
        </w:rPr>
        <w:t>4</w:t>
      </w:r>
      <w:r w:rsidR="006F592E">
        <w:rPr>
          <w:b/>
        </w:rPr>
        <w:t>1</w:t>
      </w:r>
      <w:r w:rsidRPr="00851977">
        <w:rPr>
          <w:b/>
        </w:rPr>
        <w:t xml:space="preserve">: </w:t>
      </w:r>
      <w:r w:rsidRPr="00851977">
        <w:t>Poultry feed vs Retail prices</w:t>
      </w:r>
      <w:bookmarkEnd w:id="300"/>
      <w:bookmarkEnd w:id="301"/>
      <w:bookmarkEnd w:id="302"/>
    </w:p>
    <w:p w:rsidR="00851977" w:rsidRPr="00A251EF" w:rsidRDefault="00851977" w:rsidP="00A251EF">
      <w:pPr>
        <w:rPr>
          <w:rFonts w:cs="Arial"/>
          <w:szCs w:val="18"/>
        </w:rPr>
      </w:pPr>
      <w:bookmarkStart w:id="303" w:name="_Toc489345831"/>
      <w:bookmarkStart w:id="304" w:name="_Toc489346036"/>
      <w:r w:rsidRPr="00A251EF">
        <w:rPr>
          <w:rFonts w:cs="Arial"/>
          <w:szCs w:val="18"/>
        </w:rPr>
        <w:t xml:space="preserve">Source: SAPA, STATTSA &amp; </w:t>
      </w:r>
      <w:proofErr w:type="spellStart"/>
      <w:r w:rsidRPr="00A251EF">
        <w:rPr>
          <w:rFonts w:cs="Arial"/>
          <w:szCs w:val="18"/>
        </w:rPr>
        <w:t>Safex</w:t>
      </w:r>
      <w:bookmarkEnd w:id="303"/>
      <w:bookmarkEnd w:id="304"/>
      <w:proofErr w:type="spellEnd"/>
    </w:p>
    <w:p w:rsidR="00687472" w:rsidRPr="00687472" w:rsidRDefault="00687472" w:rsidP="00687472">
      <w:pPr>
        <w:spacing w:after="0" w:line="360" w:lineRule="auto"/>
        <w:jc w:val="both"/>
        <w:rPr>
          <w:rFonts w:cs="Arial"/>
          <w:b/>
          <w:bCs/>
          <w:sz w:val="24"/>
          <w:szCs w:val="24"/>
        </w:rPr>
      </w:pPr>
      <w:r w:rsidRPr="00687472">
        <w:rPr>
          <w:rFonts w:cs="Arial"/>
          <w:b/>
          <w:bCs/>
          <w:sz w:val="24"/>
          <w:szCs w:val="24"/>
        </w:rPr>
        <w:t>3.5 Egg industry overview</w:t>
      </w:r>
    </w:p>
    <w:p w:rsidR="00687472" w:rsidRDefault="00687472" w:rsidP="00687472">
      <w:pPr>
        <w:pStyle w:val="Default"/>
        <w:spacing w:line="360" w:lineRule="auto"/>
        <w:jc w:val="both"/>
      </w:pPr>
    </w:p>
    <w:p w:rsidR="00687472" w:rsidRPr="008E2539" w:rsidRDefault="00687472" w:rsidP="00687472">
      <w:pPr>
        <w:pStyle w:val="Default"/>
        <w:spacing w:line="360" w:lineRule="auto"/>
        <w:jc w:val="both"/>
        <w:rPr>
          <w:lang w:eastAsia="en-ZA"/>
        </w:rPr>
      </w:pPr>
      <w:r w:rsidRPr="008E2539">
        <w:t xml:space="preserve">After a gradual recovery from the effects of the 2015 avian influenza outbreaks, the poultry industry worldwide faces </w:t>
      </w:r>
      <w:r>
        <w:t xml:space="preserve">yet </w:t>
      </w:r>
      <w:r w:rsidRPr="008E2539">
        <w:t>another year of trade disruptions and challenges as 2017 continues. Locally, the South African egg industry continues to face challenges presented by h</w:t>
      </w:r>
      <w:r w:rsidRPr="008E2539">
        <w:rPr>
          <w:iCs/>
        </w:rPr>
        <w:t xml:space="preserve">igh feed costs as a hangover of one of the severest droughts on record, hen welfare, reduced consumer spending in a recessionary environment and a volatile rand </w:t>
      </w:r>
      <w:r w:rsidRPr="008E2539">
        <w:t>(SAPA, 2016)</w:t>
      </w:r>
      <w:r w:rsidRPr="008E2539">
        <w:rPr>
          <w:iCs/>
        </w:rPr>
        <w:t xml:space="preserve">. </w:t>
      </w:r>
      <w:r w:rsidRPr="008E2539">
        <w:t>In comparison with the broiler industry, local egg producers are in a stronger position to cope with these challenges</w:t>
      </w:r>
      <w:r w:rsidRPr="008E2539">
        <w:rPr>
          <w:lang w:eastAsia="en-ZA"/>
        </w:rPr>
        <w:t xml:space="preserve"> than local broiler producers. </w:t>
      </w:r>
    </w:p>
    <w:p w:rsidR="00687472" w:rsidRPr="008E2539" w:rsidRDefault="00687472" w:rsidP="00687472">
      <w:pPr>
        <w:pStyle w:val="Default"/>
        <w:spacing w:line="360" w:lineRule="auto"/>
        <w:jc w:val="both"/>
        <w:rPr>
          <w:lang w:eastAsia="en-ZA"/>
        </w:rPr>
      </w:pPr>
    </w:p>
    <w:p w:rsidR="00851977" w:rsidRPr="009A57B8" w:rsidRDefault="00851977" w:rsidP="009A57B8">
      <w:pPr>
        <w:spacing w:after="0" w:line="360" w:lineRule="auto"/>
        <w:jc w:val="both"/>
        <w:rPr>
          <w:rFonts w:cs="Arial"/>
          <w:b/>
          <w:lang w:val="en-GB"/>
        </w:rPr>
      </w:pPr>
    </w:p>
    <w:p w:rsidR="00A22959" w:rsidRDefault="00A22959" w:rsidP="00A22959">
      <w:pPr>
        <w:autoSpaceDE w:val="0"/>
        <w:autoSpaceDN w:val="0"/>
        <w:adjustRightInd w:val="0"/>
        <w:spacing w:line="360" w:lineRule="auto"/>
        <w:jc w:val="both"/>
        <w:rPr>
          <w:rFonts w:cs="Arial"/>
          <w:b/>
        </w:rPr>
      </w:pPr>
    </w:p>
    <w:p w:rsidR="00A22959" w:rsidRDefault="00A22959" w:rsidP="00A8597A">
      <w:pPr>
        <w:autoSpaceDE w:val="0"/>
        <w:autoSpaceDN w:val="0"/>
        <w:adjustRightInd w:val="0"/>
        <w:spacing w:after="0" w:line="240" w:lineRule="auto"/>
        <w:jc w:val="both"/>
        <w:rPr>
          <w:rFonts w:cs="Arial"/>
          <w:b/>
        </w:rPr>
      </w:pPr>
      <w:r w:rsidRPr="00485917">
        <w:rPr>
          <w:rFonts w:cs="Arial"/>
          <w:b/>
          <w:noProof/>
        </w:rPr>
        <w:drawing>
          <wp:inline distT="0" distB="0" distL="0" distR="0" wp14:anchorId="316356C0" wp14:editId="4B03C71C">
            <wp:extent cx="4972050" cy="2714625"/>
            <wp:effectExtent l="19050" t="0" r="19050" b="0"/>
            <wp:docPr id="19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22959" w:rsidRPr="00282020" w:rsidRDefault="00A251EF" w:rsidP="00A8597A">
      <w:pPr>
        <w:pStyle w:val="Heading3"/>
        <w:spacing w:before="0" w:line="240" w:lineRule="auto"/>
        <w:rPr>
          <w:b/>
        </w:rPr>
      </w:pPr>
      <w:bookmarkStart w:id="305" w:name="_Toc489345832"/>
      <w:bookmarkStart w:id="306" w:name="_Toc489346037"/>
      <w:bookmarkStart w:id="307" w:name="_Toc489537766"/>
      <w:r>
        <w:rPr>
          <w:b/>
        </w:rPr>
        <w:t xml:space="preserve">Figure </w:t>
      </w:r>
      <w:r w:rsidR="006F592E">
        <w:rPr>
          <w:b/>
        </w:rPr>
        <w:t>4</w:t>
      </w:r>
      <w:r w:rsidR="006F592E">
        <w:rPr>
          <w:b/>
        </w:rPr>
        <w:t>2</w:t>
      </w:r>
      <w:r w:rsidR="00A22959" w:rsidRPr="00282020">
        <w:rPr>
          <w:b/>
        </w:rPr>
        <w:t>:</w:t>
      </w:r>
      <w:r w:rsidR="00A22959" w:rsidRPr="00282020">
        <w:t xml:space="preserve">  Trends in total egg production and average price per dozen of eggs.</w:t>
      </w:r>
      <w:bookmarkEnd w:id="305"/>
      <w:bookmarkEnd w:id="306"/>
      <w:bookmarkEnd w:id="307"/>
    </w:p>
    <w:p w:rsidR="00A22959" w:rsidRPr="00A251EF" w:rsidRDefault="00A22959" w:rsidP="00A251EF">
      <w:pPr>
        <w:rPr>
          <w:rFonts w:cs="Arial"/>
          <w:b/>
          <w:szCs w:val="18"/>
        </w:rPr>
      </w:pPr>
      <w:bookmarkStart w:id="308" w:name="_Toc489345833"/>
      <w:bookmarkStart w:id="309" w:name="_Toc489346038"/>
      <w:r w:rsidRPr="00A251EF">
        <w:rPr>
          <w:rFonts w:cs="Arial"/>
          <w:szCs w:val="18"/>
        </w:rPr>
        <w:t>Source: DAFF</w:t>
      </w:r>
      <w:bookmarkEnd w:id="308"/>
      <w:bookmarkEnd w:id="309"/>
    </w:p>
    <w:p w:rsidR="00A22959" w:rsidRDefault="00A22959" w:rsidP="00A22959">
      <w:pPr>
        <w:pStyle w:val="Default"/>
        <w:rPr>
          <w:sz w:val="22"/>
          <w:szCs w:val="22"/>
        </w:rPr>
      </w:pPr>
    </w:p>
    <w:p w:rsidR="00A22959" w:rsidRPr="008E2539" w:rsidRDefault="00A22959" w:rsidP="00A22959">
      <w:pPr>
        <w:autoSpaceDE w:val="0"/>
        <w:autoSpaceDN w:val="0"/>
        <w:adjustRightInd w:val="0"/>
        <w:spacing w:line="360" w:lineRule="auto"/>
        <w:jc w:val="both"/>
        <w:rPr>
          <w:rFonts w:cs="Arial"/>
          <w:sz w:val="24"/>
          <w:szCs w:val="24"/>
        </w:rPr>
      </w:pPr>
      <w:r w:rsidRPr="008E2539">
        <w:rPr>
          <w:rFonts w:cs="Arial"/>
          <w:sz w:val="24"/>
          <w:szCs w:val="24"/>
        </w:rPr>
        <w:t>In the first quarter of 2017, the total production of eggs totalled 207,5 million dozens, a 2</w:t>
      </w:r>
      <w:r w:rsidR="0052697E">
        <w:rPr>
          <w:rFonts w:cs="Arial"/>
          <w:sz w:val="24"/>
          <w:szCs w:val="24"/>
        </w:rPr>
        <w:t>,</w:t>
      </w:r>
      <w:r w:rsidRPr="008E2539">
        <w:rPr>
          <w:rFonts w:cs="Arial"/>
          <w:sz w:val="24"/>
          <w:szCs w:val="24"/>
        </w:rPr>
        <w:t xml:space="preserve">7% decrease in production compared with 213,2 million dozens produced in the first quarter of 2016, see figure </w:t>
      </w:r>
      <w:r w:rsidR="006510B7">
        <w:rPr>
          <w:rFonts w:cs="Arial"/>
          <w:sz w:val="24"/>
          <w:szCs w:val="24"/>
        </w:rPr>
        <w:t>43</w:t>
      </w:r>
      <w:r w:rsidRPr="008E2539">
        <w:rPr>
          <w:rFonts w:cs="Arial"/>
          <w:sz w:val="24"/>
          <w:szCs w:val="24"/>
        </w:rPr>
        <w:t>. When comparing the fourth quarter of 2016 with the first quarter of 2017, total production of eggs decreased by 1</w:t>
      </w:r>
      <w:proofErr w:type="gramStart"/>
      <w:r w:rsidR="0052697E">
        <w:rPr>
          <w:rFonts w:cs="Arial"/>
          <w:sz w:val="24"/>
          <w:szCs w:val="24"/>
        </w:rPr>
        <w:t>,</w:t>
      </w:r>
      <w:r w:rsidRPr="008E2539">
        <w:rPr>
          <w:rFonts w:cs="Arial"/>
          <w:sz w:val="24"/>
          <w:szCs w:val="24"/>
        </w:rPr>
        <w:t>1</w:t>
      </w:r>
      <w:proofErr w:type="gramEnd"/>
      <w:r w:rsidRPr="008E2539">
        <w:rPr>
          <w:rFonts w:cs="Arial"/>
          <w:sz w:val="24"/>
          <w:szCs w:val="24"/>
        </w:rPr>
        <w:t>%, from 211,8 million dozens to 207,5 million dozens over the period. Local demand for eggs remained weak in the first quarter of 2017 due to the recessionary environment and reduced consumer spending despite the increasing popularity of high protein/high fat diets which has fuelled a resurgence in the consumption of eggs elsewhere in the world.</w:t>
      </w:r>
    </w:p>
    <w:p w:rsidR="00A22959" w:rsidRDefault="00A22959" w:rsidP="00A8597A">
      <w:pPr>
        <w:autoSpaceDE w:val="0"/>
        <w:autoSpaceDN w:val="0"/>
        <w:adjustRightInd w:val="0"/>
        <w:spacing w:line="360" w:lineRule="auto"/>
        <w:jc w:val="both"/>
        <w:rPr>
          <w:rFonts w:eastAsiaTheme="minorHAnsi" w:cs="Arial"/>
          <w:sz w:val="24"/>
          <w:szCs w:val="24"/>
        </w:rPr>
      </w:pPr>
      <w:r w:rsidRPr="008E2539">
        <w:rPr>
          <w:rFonts w:cs="Arial"/>
          <w:sz w:val="24"/>
          <w:szCs w:val="24"/>
        </w:rPr>
        <w:t>The average price per dozen of eggs increased by 3</w:t>
      </w:r>
      <w:proofErr w:type="gramStart"/>
      <w:r w:rsidR="0052697E">
        <w:rPr>
          <w:rFonts w:cs="Arial"/>
          <w:sz w:val="24"/>
          <w:szCs w:val="24"/>
        </w:rPr>
        <w:t>,</w:t>
      </w:r>
      <w:r w:rsidRPr="008E2539">
        <w:rPr>
          <w:rFonts w:cs="Arial"/>
          <w:sz w:val="24"/>
          <w:szCs w:val="24"/>
        </w:rPr>
        <w:t>7</w:t>
      </w:r>
      <w:proofErr w:type="gramEnd"/>
      <w:r w:rsidRPr="008E2539">
        <w:rPr>
          <w:rFonts w:cs="Arial"/>
          <w:sz w:val="24"/>
          <w:szCs w:val="24"/>
        </w:rPr>
        <w:t>%, from R 11</w:t>
      </w:r>
      <w:r w:rsidR="0052697E">
        <w:rPr>
          <w:rFonts w:cs="Arial"/>
          <w:sz w:val="24"/>
          <w:szCs w:val="24"/>
        </w:rPr>
        <w:t>,</w:t>
      </w:r>
      <w:r w:rsidRPr="008E2539">
        <w:rPr>
          <w:rFonts w:cs="Arial"/>
          <w:sz w:val="24"/>
          <w:szCs w:val="24"/>
        </w:rPr>
        <w:t>68 per dozen in the first quarter of 2016 to R12</w:t>
      </w:r>
      <w:r w:rsidR="0052697E">
        <w:rPr>
          <w:rFonts w:cs="Arial"/>
          <w:sz w:val="24"/>
          <w:szCs w:val="24"/>
        </w:rPr>
        <w:t>,</w:t>
      </w:r>
      <w:r w:rsidRPr="008E2539">
        <w:rPr>
          <w:rFonts w:cs="Arial"/>
          <w:sz w:val="24"/>
          <w:szCs w:val="24"/>
        </w:rPr>
        <w:t>11 per dozen in the first quarter of 2017. When comparing the fourth quarter of 2016 with the first quarter of 2017, the average price per dozen of eggs decreased by 1</w:t>
      </w:r>
      <w:proofErr w:type="gramStart"/>
      <w:r w:rsidR="0052697E">
        <w:rPr>
          <w:rFonts w:cs="Arial"/>
          <w:sz w:val="24"/>
          <w:szCs w:val="24"/>
        </w:rPr>
        <w:t>,</w:t>
      </w:r>
      <w:r w:rsidRPr="008E2539">
        <w:rPr>
          <w:rFonts w:cs="Arial"/>
          <w:sz w:val="24"/>
          <w:szCs w:val="24"/>
        </w:rPr>
        <w:t>4</w:t>
      </w:r>
      <w:proofErr w:type="gramEnd"/>
      <w:r w:rsidRPr="008E2539">
        <w:rPr>
          <w:rFonts w:cs="Arial"/>
          <w:sz w:val="24"/>
          <w:szCs w:val="24"/>
        </w:rPr>
        <w:t>%, from R12</w:t>
      </w:r>
      <w:r w:rsidR="0052697E">
        <w:rPr>
          <w:rFonts w:cs="Arial"/>
          <w:sz w:val="24"/>
          <w:szCs w:val="24"/>
        </w:rPr>
        <w:t>,</w:t>
      </w:r>
      <w:r w:rsidRPr="008E2539">
        <w:rPr>
          <w:rFonts w:cs="Arial"/>
          <w:sz w:val="24"/>
          <w:szCs w:val="24"/>
        </w:rPr>
        <w:t>28 per dozen in the fourth quarter of 2016 to R12</w:t>
      </w:r>
      <w:r w:rsidR="0052697E">
        <w:rPr>
          <w:rFonts w:cs="Arial"/>
          <w:sz w:val="24"/>
          <w:szCs w:val="24"/>
        </w:rPr>
        <w:t>,</w:t>
      </w:r>
      <w:r w:rsidRPr="008E2539">
        <w:rPr>
          <w:rFonts w:cs="Arial"/>
          <w:sz w:val="24"/>
          <w:szCs w:val="24"/>
        </w:rPr>
        <w:t xml:space="preserve">11 per dozen in the first quarter of 2017. In the meantime, there seems to be dark clouds hanging over the local poultry industry with </w:t>
      </w:r>
      <w:r w:rsidRPr="008E2539">
        <w:rPr>
          <w:rFonts w:eastAsiaTheme="minorHAnsi" w:cs="Arial"/>
          <w:sz w:val="24"/>
          <w:szCs w:val="24"/>
        </w:rPr>
        <w:t>competition from low cost imports, high feed prices and the return of the US to the export market. Moreover, according to SAPA (2017), the country’s poultry sector is still gradually shedding jobs despite a task team being set up to try and</w:t>
      </w:r>
      <w:r w:rsidR="008E2539">
        <w:rPr>
          <w:rFonts w:eastAsiaTheme="minorHAnsi" w:cs="Arial"/>
          <w:sz w:val="24"/>
          <w:szCs w:val="24"/>
        </w:rPr>
        <w:t xml:space="preserve"> halt the crisis in the sector </w:t>
      </w:r>
    </w:p>
    <w:p w:rsidR="008E2539" w:rsidRPr="008E2539" w:rsidRDefault="008E2539" w:rsidP="00A8597A">
      <w:pPr>
        <w:autoSpaceDE w:val="0"/>
        <w:autoSpaceDN w:val="0"/>
        <w:adjustRightInd w:val="0"/>
        <w:spacing w:line="360" w:lineRule="auto"/>
        <w:jc w:val="both"/>
        <w:rPr>
          <w:rFonts w:cs="Arial"/>
          <w:sz w:val="24"/>
          <w:szCs w:val="24"/>
        </w:rPr>
      </w:pPr>
    </w:p>
    <w:p w:rsidR="00A22959" w:rsidRDefault="00A22959" w:rsidP="00A8597A">
      <w:pPr>
        <w:autoSpaceDE w:val="0"/>
        <w:autoSpaceDN w:val="0"/>
        <w:adjustRightInd w:val="0"/>
        <w:spacing w:after="0" w:line="240" w:lineRule="auto"/>
        <w:jc w:val="both"/>
        <w:rPr>
          <w:rFonts w:cs="Arial"/>
          <w:b/>
        </w:rPr>
      </w:pPr>
      <w:r w:rsidRPr="00626024">
        <w:rPr>
          <w:rFonts w:cs="Arial"/>
          <w:b/>
          <w:noProof/>
        </w:rPr>
        <w:drawing>
          <wp:inline distT="0" distB="0" distL="0" distR="0" wp14:anchorId="6AFA6253" wp14:editId="229AEC3C">
            <wp:extent cx="5610225" cy="2743200"/>
            <wp:effectExtent l="19050" t="0" r="9525" b="0"/>
            <wp:docPr id="19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22959" w:rsidRPr="00282020" w:rsidRDefault="00A22959" w:rsidP="00A8597A">
      <w:pPr>
        <w:pStyle w:val="Heading3"/>
        <w:spacing w:before="0" w:line="240" w:lineRule="auto"/>
        <w:rPr>
          <w:b/>
        </w:rPr>
      </w:pPr>
      <w:bookmarkStart w:id="310" w:name="_Toc489345834"/>
      <w:bookmarkStart w:id="311" w:name="_Toc489346039"/>
      <w:bookmarkStart w:id="312" w:name="_Toc489537767"/>
      <w:r>
        <w:rPr>
          <w:b/>
        </w:rPr>
        <w:t xml:space="preserve">Figure </w:t>
      </w:r>
      <w:r w:rsidR="006F592E">
        <w:rPr>
          <w:b/>
        </w:rPr>
        <w:t>4</w:t>
      </w:r>
      <w:r w:rsidR="006F592E">
        <w:rPr>
          <w:b/>
        </w:rPr>
        <w:t>3</w:t>
      </w:r>
      <w:r w:rsidRPr="00282020">
        <w:rPr>
          <w:b/>
        </w:rPr>
        <w:t>:</w:t>
      </w:r>
      <w:r w:rsidRPr="00282020">
        <w:t xml:space="preserve">   Trends in imports and exports of Birds' Eggs, In Shell, Fresh, Preserved </w:t>
      </w:r>
      <w:proofErr w:type="gramStart"/>
      <w:r w:rsidRPr="00282020">
        <w:t>Or</w:t>
      </w:r>
      <w:proofErr w:type="gramEnd"/>
      <w:r w:rsidRPr="00282020">
        <w:t xml:space="preserve"> Cooked</w:t>
      </w:r>
      <w:bookmarkEnd w:id="310"/>
      <w:bookmarkEnd w:id="311"/>
      <w:bookmarkEnd w:id="312"/>
      <w:r w:rsidRPr="00282020">
        <w:t xml:space="preserve"> </w:t>
      </w:r>
    </w:p>
    <w:p w:rsidR="00A22959" w:rsidRPr="00A251EF" w:rsidRDefault="00A22959" w:rsidP="00A251EF">
      <w:pPr>
        <w:rPr>
          <w:rFonts w:cs="Arial"/>
          <w:szCs w:val="18"/>
        </w:rPr>
      </w:pPr>
      <w:bookmarkStart w:id="313" w:name="_Toc489345835"/>
      <w:bookmarkStart w:id="314" w:name="_Toc489346040"/>
      <w:r w:rsidRPr="00A251EF">
        <w:rPr>
          <w:rFonts w:cs="Arial"/>
          <w:szCs w:val="18"/>
        </w:rPr>
        <w:t>Source: GTA, 2017</w:t>
      </w:r>
      <w:bookmarkEnd w:id="313"/>
      <w:bookmarkEnd w:id="314"/>
    </w:p>
    <w:p w:rsidR="00A8597A" w:rsidRPr="00A8597A" w:rsidRDefault="00A8597A" w:rsidP="00A8597A"/>
    <w:p w:rsidR="00A22959" w:rsidRPr="008E2539" w:rsidRDefault="00A22959" w:rsidP="00C5502F">
      <w:pPr>
        <w:autoSpaceDE w:val="0"/>
        <w:autoSpaceDN w:val="0"/>
        <w:adjustRightInd w:val="0"/>
        <w:spacing w:line="360" w:lineRule="auto"/>
        <w:jc w:val="both"/>
        <w:rPr>
          <w:rFonts w:cs="Arial"/>
          <w:b/>
          <w:sz w:val="24"/>
          <w:szCs w:val="24"/>
        </w:rPr>
      </w:pPr>
      <w:r w:rsidRPr="008E2539">
        <w:rPr>
          <w:rFonts w:eastAsia="Calibri" w:cs="Arial"/>
          <w:sz w:val="24"/>
          <w:szCs w:val="24"/>
        </w:rPr>
        <w:t>South Africa remains a net-exporter of bird eggs (in shell, fresh, preserved or cooked) between the first quarter of 2014 and the first quarter of 2017 as exports exceed imports in most of the quarters</w:t>
      </w:r>
      <w:r w:rsidR="00687472">
        <w:rPr>
          <w:rFonts w:eastAsia="Calibri" w:cs="Arial"/>
          <w:sz w:val="24"/>
          <w:szCs w:val="24"/>
        </w:rPr>
        <w:t xml:space="preserve"> see Figure 43</w:t>
      </w:r>
      <w:r w:rsidRPr="008E2539">
        <w:rPr>
          <w:rFonts w:eastAsia="Calibri" w:cs="Arial"/>
          <w:sz w:val="24"/>
          <w:szCs w:val="24"/>
        </w:rPr>
        <w:t>. In the first quarter of 2017, South Africa exported a total of 3 472</w:t>
      </w:r>
      <w:proofErr w:type="gramStart"/>
      <w:r w:rsidR="002E3321">
        <w:rPr>
          <w:rFonts w:eastAsia="Calibri" w:cs="Arial"/>
          <w:sz w:val="24"/>
          <w:szCs w:val="24"/>
        </w:rPr>
        <w:t>,</w:t>
      </w:r>
      <w:r w:rsidRPr="008E2539">
        <w:rPr>
          <w:rFonts w:eastAsia="Calibri" w:cs="Arial"/>
          <w:sz w:val="24"/>
          <w:szCs w:val="24"/>
        </w:rPr>
        <w:t>7</w:t>
      </w:r>
      <w:proofErr w:type="gramEnd"/>
      <w:r w:rsidRPr="008E2539">
        <w:rPr>
          <w:rFonts w:eastAsia="Calibri" w:cs="Arial"/>
          <w:sz w:val="24"/>
          <w:szCs w:val="24"/>
        </w:rPr>
        <w:t xml:space="preserve"> tons of birds eggs, 22% less than 4467</w:t>
      </w:r>
      <w:r w:rsidR="002E3321">
        <w:rPr>
          <w:rFonts w:eastAsia="Calibri" w:cs="Arial"/>
          <w:sz w:val="24"/>
          <w:szCs w:val="24"/>
        </w:rPr>
        <w:t>,</w:t>
      </w:r>
      <w:r w:rsidRPr="008E2539">
        <w:rPr>
          <w:rFonts w:eastAsia="Calibri" w:cs="Arial"/>
          <w:sz w:val="24"/>
          <w:szCs w:val="24"/>
        </w:rPr>
        <w:t>7 tons exported in the first quarter of 2016. Between the third quarter and the fourth quarter of 2016, South Africa's exports of bird eggs increased by 24%, from 3 170</w:t>
      </w:r>
      <w:proofErr w:type="gramStart"/>
      <w:r w:rsidR="002E3321">
        <w:rPr>
          <w:rFonts w:eastAsia="Calibri" w:cs="Arial"/>
          <w:sz w:val="24"/>
          <w:szCs w:val="24"/>
        </w:rPr>
        <w:t>,</w:t>
      </w:r>
      <w:r w:rsidRPr="008E2539">
        <w:rPr>
          <w:rFonts w:eastAsia="Calibri" w:cs="Arial"/>
          <w:sz w:val="24"/>
          <w:szCs w:val="24"/>
        </w:rPr>
        <w:t>10</w:t>
      </w:r>
      <w:proofErr w:type="gramEnd"/>
      <w:r w:rsidRPr="008E2539">
        <w:rPr>
          <w:rFonts w:eastAsia="Calibri" w:cs="Arial"/>
          <w:sz w:val="24"/>
          <w:szCs w:val="24"/>
        </w:rPr>
        <w:t xml:space="preserve"> tons to 3</w:t>
      </w:r>
      <w:r w:rsidR="002E3321">
        <w:rPr>
          <w:rFonts w:eastAsia="Calibri" w:cs="Arial"/>
          <w:sz w:val="24"/>
          <w:szCs w:val="24"/>
        </w:rPr>
        <w:t> </w:t>
      </w:r>
      <w:r w:rsidRPr="008E2539">
        <w:rPr>
          <w:rFonts w:eastAsia="Calibri" w:cs="Arial"/>
          <w:sz w:val="24"/>
          <w:szCs w:val="24"/>
        </w:rPr>
        <w:t>916</w:t>
      </w:r>
      <w:r w:rsidR="002E3321">
        <w:rPr>
          <w:rFonts w:eastAsia="Calibri" w:cs="Arial"/>
          <w:sz w:val="24"/>
          <w:szCs w:val="24"/>
        </w:rPr>
        <w:t>,</w:t>
      </w:r>
      <w:r w:rsidRPr="008E2539">
        <w:rPr>
          <w:rFonts w:eastAsia="Calibri" w:cs="Arial"/>
          <w:sz w:val="24"/>
          <w:szCs w:val="24"/>
        </w:rPr>
        <w:t>2 tons over the period. Meanwhile, between the fourth quarter of 2016 and the first quarter of 2017, South Africa's exports of bird eggs decreased by 11%, from 3916</w:t>
      </w:r>
      <w:proofErr w:type="gramStart"/>
      <w:r w:rsidR="002E3321">
        <w:rPr>
          <w:rFonts w:eastAsia="Calibri" w:cs="Arial"/>
          <w:sz w:val="24"/>
          <w:szCs w:val="24"/>
        </w:rPr>
        <w:t>,</w:t>
      </w:r>
      <w:r w:rsidRPr="008E2539">
        <w:rPr>
          <w:rFonts w:eastAsia="Calibri" w:cs="Arial"/>
          <w:sz w:val="24"/>
          <w:szCs w:val="24"/>
        </w:rPr>
        <w:t>2</w:t>
      </w:r>
      <w:proofErr w:type="gramEnd"/>
      <w:r w:rsidRPr="008E2539">
        <w:rPr>
          <w:rFonts w:eastAsia="Calibri" w:cs="Arial"/>
          <w:sz w:val="24"/>
          <w:szCs w:val="24"/>
        </w:rPr>
        <w:t xml:space="preserve">  tons in the fourth quarter of 2016 to 3472</w:t>
      </w:r>
      <w:r w:rsidR="002E3321">
        <w:rPr>
          <w:rFonts w:eastAsia="Calibri" w:cs="Arial"/>
          <w:sz w:val="24"/>
          <w:szCs w:val="24"/>
        </w:rPr>
        <w:t>,</w:t>
      </w:r>
      <w:r w:rsidRPr="008E2539">
        <w:rPr>
          <w:rFonts w:eastAsia="Calibri" w:cs="Arial"/>
          <w:sz w:val="24"/>
          <w:szCs w:val="24"/>
        </w:rPr>
        <w:t>7 tons in the first quarter of 2017. Imports of bird eggs have been volatile and displayed a downward trend between the first quarter of 2014 and the first quarter of 2017. Since the first quarter of 2015, imports of bird eggs decreased notably except for the fourth quarter of 2015 and the first quarter of 2017 were import of bird eggs increased marginally. In the first quarter of 2017, imports of bird eggs increased by 105%, from 0</w:t>
      </w:r>
      <w:proofErr w:type="gramStart"/>
      <w:r w:rsidR="00D74783">
        <w:rPr>
          <w:rFonts w:eastAsia="Calibri" w:cs="Arial"/>
          <w:sz w:val="24"/>
          <w:szCs w:val="24"/>
        </w:rPr>
        <w:t>,</w:t>
      </w:r>
      <w:r w:rsidRPr="008E2539">
        <w:rPr>
          <w:rFonts w:eastAsia="Calibri" w:cs="Arial"/>
          <w:sz w:val="24"/>
          <w:szCs w:val="24"/>
        </w:rPr>
        <w:t>34</w:t>
      </w:r>
      <w:proofErr w:type="gramEnd"/>
      <w:r w:rsidRPr="008E2539">
        <w:rPr>
          <w:rFonts w:eastAsia="Calibri" w:cs="Arial"/>
          <w:sz w:val="24"/>
          <w:szCs w:val="24"/>
        </w:rPr>
        <w:t xml:space="preserve"> tons in the first quarter of 2016 to 0</w:t>
      </w:r>
      <w:r w:rsidR="00D74783">
        <w:rPr>
          <w:rFonts w:eastAsia="Calibri" w:cs="Arial"/>
          <w:sz w:val="24"/>
          <w:szCs w:val="24"/>
        </w:rPr>
        <w:t>,</w:t>
      </w:r>
      <w:r w:rsidRPr="008E2539">
        <w:rPr>
          <w:rFonts w:eastAsia="Calibri" w:cs="Arial"/>
          <w:sz w:val="24"/>
          <w:szCs w:val="24"/>
        </w:rPr>
        <w:t xml:space="preserve">71 tons in the first quarter of 2017. </w:t>
      </w:r>
    </w:p>
    <w:p w:rsidR="00A22959" w:rsidRDefault="00A22959" w:rsidP="00A22959">
      <w:pPr>
        <w:autoSpaceDE w:val="0"/>
        <w:autoSpaceDN w:val="0"/>
        <w:adjustRightInd w:val="0"/>
        <w:spacing w:line="360" w:lineRule="auto"/>
        <w:jc w:val="both"/>
        <w:rPr>
          <w:rFonts w:cs="Arial"/>
          <w:b/>
        </w:rPr>
      </w:pPr>
    </w:p>
    <w:p w:rsidR="00A22959" w:rsidRDefault="00A22959" w:rsidP="008E2539">
      <w:pPr>
        <w:pStyle w:val="NormalWeb"/>
        <w:spacing w:before="0" w:beforeAutospacing="0" w:after="0" w:afterAutospacing="0" w:line="240" w:lineRule="auto"/>
        <w:jc w:val="both"/>
        <w:rPr>
          <w:sz w:val="24"/>
          <w:szCs w:val="24"/>
        </w:rPr>
      </w:pPr>
      <w:r w:rsidRPr="00EE2C3E">
        <w:rPr>
          <w:noProof/>
          <w:sz w:val="24"/>
          <w:szCs w:val="24"/>
        </w:rPr>
        <w:drawing>
          <wp:inline distT="0" distB="0" distL="0" distR="0" wp14:anchorId="2C658ACC" wp14:editId="4E8A7526">
            <wp:extent cx="5255288" cy="2763297"/>
            <wp:effectExtent l="0" t="0" r="21590" b="18415"/>
            <wp:docPr id="20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22959" w:rsidRPr="00282020" w:rsidRDefault="00A22959" w:rsidP="008E2539">
      <w:pPr>
        <w:pStyle w:val="Heading3"/>
        <w:spacing w:before="0" w:line="240" w:lineRule="auto"/>
      </w:pPr>
      <w:bookmarkStart w:id="315" w:name="_Toc489345837"/>
      <w:bookmarkStart w:id="316" w:name="_Toc489346042"/>
      <w:bookmarkStart w:id="317" w:name="_Toc489537769"/>
      <w:r w:rsidRPr="00282020">
        <w:rPr>
          <w:b/>
        </w:rPr>
        <w:t xml:space="preserve">Figure </w:t>
      </w:r>
      <w:r w:rsidR="00687472">
        <w:rPr>
          <w:b/>
        </w:rPr>
        <w:t>4</w:t>
      </w:r>
      <w:r w:rsidR="00687472">
        <w:rPr>
          <w:b/>
        </w:rPr>
        <w:t>4</w:t>
      </w:r>
      <w:r w:rsidRPr="00282020">
        <w:rPr>
          <w:b/>
        </w:rPr>
        <w:t>:</w:t>
      </w:r>
      <w:r w:rsidRPr="00282020">
        <w:t xml:space="preserve">  Trends in total production and average price of milk</w:t>
      </w:r>
      <w:bookmarkEnd w:id="315"/>
      <w:bookmarkEnd w:id="316"/>
      <w:bookmarkEnd w:id="317"/>
    </w:p>
    <w:p w:rsidR="00A22959" w:rsidRDefault="00A22959" w:rsidP="00A251EF">
      <w:pPr>
        <w:rPr>
          <w:noProof/>
        </w:rPr>
      </w:pPr>
      <w:bookmarkStart w:id="318" w:name="_Toc489345838"/>
      <w:bookmarkStart w:id="319" w:name="_Toc489346043"/>
      <w:r w:rsidRPr="00282020">
        <w:rPr>
          <w:noProof/>
        </w:rPr>
        <w:t>Source: DAFF</w:t>
      </w:r>
      <w:bookmarkEnd w:id="318"/>
      <w:bookmarkEnd w:id="319"/>
    </w:p>
    <w:p w:rsidR="00A22959" w:rsidRDefault="00A22959" w:rsidP="00A22959">
      <w:pPr>
        <w:pStyle w:val="NormalWeb"/>
        <w:spacing w:before="0" w:beforeAutospacing="0" w:after="0" w:afterAutospacing="0" w:line="360" w:lineRule="auto"/>
        <w:jc w:val="both"/>
        <w:rPr>
          <w:sz w:val="24"/>
          <w:szCs w:val="24"/>
        </w:rPr>
      </w:pPr>
    </w:p>
    <w:p w:rsidR="00A22959" w:rsidRPr="008E2539" w:rsidRDefault="00A22959" w:rsidP="00A22959">
      <w:pPr>
        <w:spacing w:line="360" w:lineRule="auto"/>
        <w:jc w:val="both"/>
        <w:rPr>
          <w:rFonts w:eastAsiaTheme="minorHAnsi" w:cs="Arial"/>
          <w:sz w:val="24"/>
          <w:szCs w:val="24"/>
        </w:rPr>
      </w:pPr>
      <w:r w:rsidRPr="008E2539">
        <w:rPr>
          <w:rFonts w:cs="Arial"/>
          <w:sz w:val="24"/>
          <w:szCs w:val="24"/>
        </w:rPr>
        <w:t>Total milk production in the first quarter of 2017 came in 6</w:t>
      </w:r>
      <w:r w:rsidR="00D74783">
        <w:rPr>
          <w:rFonts w:cs="Arial"/>
          <w:sz w:val="24"/>
          <w:szCs w:val="24"/>
        </w:rPr>
        <w:t>,</w:t>
      </w:r>
      <w:r w:rsidRPr="008E2539">
        <w:rPr>
          <w:rFonts w:cs="Arial"/>
          <w:sz w:val="24"/>
          <w:szCs w:val="24"/>
        </w:rPr>
        <w:t>6% higher than in the first quarter of 2016, increasing from 814</w:t>
      </w:r>
      <w:r w:rsidR="00D74783">
        <w:rPr>
          <w:rFonts w:cs="Arial"/>
          <w:sz w:val="24"/>
          <w:szCs w:val="24"/>
        </w:rPr>
        <w:t>,</w:t>
      </w:r>
      <w:r w:rsidRPr="008E2539">
        <w:rPr>
          <w:rFonts w:cs="Arial"/>
          <w:sz w:val="24"/>
          <w:szCs w:val="24"/>
        </w:rPr>
        <w:t>8 million litres in the first quarter of 2016 to 868</w:t>
      </w:r>
      <w:r w:rsidR="00D74783">
        <w:rPr>
          <w:rFonts w:cs="Arial"/>
          <w:sz w:val="24"/>
          <w:szCs w:val="24"/>
        </w:rPr>
        <w:t>,</w:t>
      </w:r>
      <w:r w:rsidRPr="008E2539">
        <w:rPr>
          <w:rFonts w:cs="Arial"/>
          <w:sz w:val="24"/>
          <w:szCs w:val="24"/>
        </w:rPr>
        <w:t>9 million litres in the first quarter of 2017</w:t>
      </w:r>
      <w:r w:rsidR="00687472">
        <w:rPr>
          <w:rFonts w:cs="Arial"/>
          <w:sz w:val="24"/>
          <w:szCs w:val="24"/>
        </w:rPr>
        <w:t>, see Figure 44</w:t>
      </w:r>
      <w:r w:rsidRPr="008E2539">
        <w:rPr>
          <w:rFonts w:cs="Arial"/>
          <w:sz w:val="24"/>
          <w:szCs w:val="24"/>
        </w:rPr>
        <w:t xml:space="preserve">. </w:t>
      </w:r>
      <w:r w:rsidRPr="008E2539">
        <w:rPr>
          <w:rFonts w:eastAsiaTheme="minorHAnsi" w:cs="Arial"/>
          <w:sz w:val="24"/>
          <w:szCs w:val="24"/>
        </w:rPr>
        <w:t>More favourable grain prices are expected in 2017 which may result in faster production growth after winter. However, with the severe drought conditions in the Eastern and Western Cape and the after-effects of the 2015/2016 drought, total milk production may be limited in 2017 (MPO, 2017).</w:t>
      </w:r>
    </w:p>
    <w:p w:rsidR="00A22959" w:rsidRPr="008E2539" w:rsidRDefault="00A22959" w:rsidP="00A22959">
      <w:pPr>
        <w:shd w:val="clear" w:color="auto" w:fill="FFFFFF"/>
        <w:spacing w:line="360" w:lineRule="auto"/>
        <w:jc w:val="both"/>
        <w:rPr>
          <w:sz w:val="24"/>
          <w:szCs w:val="24"/>
        </w:rPr>
      </w:pPr>
      <w:r w:rsidRPr="008E2539">
        <w:rPr>
          <w:rFonts w:cs="Arial"/>
          <w:color w:val="000000"/>
          <w:sz w:val="24"/>
          <w:szCs w:val="24"/>
        </w:rPr>
        <w:t>The average producer price per litre of milk increased by 1</w:t>
      </w:r>
      <w:proofErr w:type="gramStart"/>
      <w:r w:rsidR="00D74783">
        <w:rPr>
          <w:rFonts w:cs="Arial"/>
          <w:color w:val="000000"/>
          <w:sz w:val="24"/>
          <w:szCs w:val="24"/>
        </w:rPr>
        <w:t>,</w:t>
      </w:r>
      <w:r w:rsidRPr="008E2539">
        <w:rPr>
          <w:rFonts w:cs="Arial"/>
          <w:color w:val="000000"/>
          <w:sz w:val="24"/>
          <w:szCs w:val="24"/>
        </w:rPr>
        <w:t>7</w:t>
      </w:r>
      <w:proofErr w:type="gramEnd"/>
      <w:r w:rsidRPr="008E2539">
        <w:rPr>
          <w:rFonts w:cs="Arial"/>
          <w:color w:val="000000"/>
          <w:sz w:val="24"/>
          <w:szCs w:val="24"/>
        </w:rPr>
        <w:t>%, from R4,28/ℓ in the first quarter of 2016 to R4,35/ℓ in the first quarter of 2017. Producer prices increased slightly towards the end of 2016 while some major milk processors have announced price increases from February 2017 and again will announce from June/July 2017 (MPO, 2017).</w:t>
      </w:r>
    </w:p>
    <w:p w:rsidR="00A22959" w:rsidRPr="008E2539" w:rsidRDefault="00A22959" w:rsidP="00A22959">
      <w:pPr>
        <w:autoSpaceDE w:val="0"/>
        <w:autoSpaceDN w:val="0"/>
        <w:adjustRightInd w:val="0"/>
        <w:spacing w:line="360" w:lineRule="auto"/>
        <w:jc w:val="both"/>
        <w:rPr>
          <w:rFonts w:eastAsiaTheme="minorHAnsi" w:cs="Arial"/>
          <w:sz w:val="24"/>
          <w:szCs w:val="24"/>
        </w:rPr>
      </w:pPr>
      <w:r w:rsidRPr="008E2539">
        <w:rPr>
          <w:rFonts w:eastAsiaTheme="minorHAnsi" w:cs="Arial"/>
          <w:sz w:val="24"/>
          <w:szCs w:val="24"/>
        </w:rPr>
        <w:t xml:space="preserve">According to Absa (2017), dairy producers are the ultimate price-takers within the agricultural sector. Owing to the limited amount of milk buyers in the dairy industry, lack of sufficient competition by different stakeholders and the mere fact that a perishable product cannot be stored for long, prices are subject to bearish factors and will likely remain under pressure (Absa, 2017). </w:t>
      </w:r>
    </w:p>
    <w:p w:rsidR="00A22959" w:rsidRPr="00EC7AFF" w:rsidRDefault="00A22959" w:rsidP="00A22959">
      <w:pPr>
        <w:autoSpaceDE w:val="0"/>
        <w:autoSpaceDN w:val="0"/>
        <w:adjustRightInd w:val="0"/>
        <w:spacing w:line="360" w:lineRule="auto"/>
        <w:jc w:val="both"/>
        <w:rPr>
          <w:rFonts w:cs="Arial"/>
        </w:rPr>
      </w:pPr>
    </w:p>
    <w:p w:rsidR="00A22959" w:rsidRDefault="00A22959" w:rsidP="00A8597A">
      <w:pPr>
        <w:pStyle w:val="NormalWeb"/>
        <w:spacing w:before="0" w:beforeAutospacing="0" w:after="0" w:afterAutospacing="0" w:line="240" w:lineRule="auto"/>
        <w:jc w:val="both"/>
        <w:rPr>
          <w:sz w:val="24"/>
          <w:szCs w:val="24"/>
        </w:rPr>
      </w:pPr>
      <w:r w:rsidRPr="00ED69B0">
        <w:rPr>
          <w:noProof/>
          <w:sz w:val="24"/>
          <w:szCs w:val="24"/>
        </w:rPr>
        <w:drawing>
          <wp:inline distT="0" distB="0" distL="0" distR="0" wp14:anchorId="30BCFFC2" wp14:editId="5DAC7DDB">
            <wp:extent cx="5144756" cy="2743200"/>
            <wp:effectExtent l="0" t="0" r="18415" b="1905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22959" w:rsidRPr="004C75A9" w:rsidRDefault="00A22959" w:rsidP="00A8597A">
      <w:pPr>
        <w:pStyle w:val="Heading3"/>
        <w:spacing w:before="0" w:line="240" w:lineRule="auto"/>
      </w:pPr>
      <w:bookmarkStart w:id="320" w:name="_Toc489345839"/>
      <w:bookmarkStart w:id="321" w:name="_Toc489346044"/>
      <w:bookmarkStart w:id="322" w:name="_Toc489537770"/>
      <w:bookmarkStart w:id="323" w:name="OLE_LINK1"/>
      <w:r>
        <w:rPr>
          <w:b/>
        </w:rPr>
        <w:t xml:space="preserve">Figure </w:t>
      </w:r>
      <w:r w:rsidR="00687472">
        <w:rPr>
          <w:b/>
        </w:rPr>
        <w:t>4</w:t>
      </w:r>
      <w:r w:rsidR="00687472">
        <w:rPr>
          <w:b/>
        </w:rPr>
        <w:t>5</w:t>
      </w:r>
      <w:r w:rsidRPr="004C75A9">
        <w:rPr>
          <w:b/>
        </w:rPr>
        <w:t>:</w:t>
      </w:r>
      <w:r w:rsidRPr="004C75A9">
        <w:t xml:space="preserve">  </w:t>
      </w:r>
      <w:r w:rsidRPr="004C75A9">
        <w:rPr>
          <w:b/>
        </w:rPr>
        <w:t xml:space="preserve"> </w:t>
      </w:r>
      <w:r w:rsidRPr="004C75A9">
        <w:t>Trends in imports and exports of milk and cream, not concentrated nor containing added sweetening</w:t>
      </w:r>
      <w:bookmarkEnd w:id="320"/>
      <w:bookmarkEnd w:id="321"/>
      <w:bookmarkEnd w:id="322"/>
      <w:r w:rsidRPr="004C75A9">
        <w:t xml:space="preserve"> </w:t>
      </w:r>
    </w:p>
    <w:p w:rsidR="00A22959" w:rsidRDefault="00A22959" w:rsidP="00A251EF">
      <w:pPr>
        <w:rPr>
          <w:sz w:val="24"/>
          <w:szCs w:val="24"/>
        </w:rPr>
      </w:pPr>
      <w:bookmarkStart w:id="324" w:name="_Toc489345840"/>
      <w:bookmarkStart w:id="325" w:name="_Toc489346045"/>
      <w:r w:rsidRPr="00282020">
        <w:t>Source: GTA, 201</w:t>
      </w:r>
      <w:r>
        <w:t>7</w:t>
      </w:r>
      <w:bookmarkEnd w:id="324"/>
      <w:bookmarkEnd w:id="325"/>
    </w:p>
    <w:bookmarkEnd w:id="323"/>
    <w:p w:rsidR="00A22959" w:rsidRDefault="00A22959" w:rsidP="00A22959">
      <w:pPr>
        <w:pStyle w:val="NormalWeb"/>
        <w:spacing w:before="0" w:beforeAutospacing="0" w:after="0" w:afterAutospacing="0" w:line="360" w:lineRule="auto"/>
        <w:jc w:val="both"/>
        <w:rPr>
          <w:sz w:val="19"/>
          <w:szCs w:val="19"/>
        </w:rPr>
      </w:pPr>
    </w:p>
    <w:p w:rsidR="00A22959" w:rsidRPr="008E2539" w:rsidRDefault="00A22959" w:rsidP="00A22959">
      <w:pPr>
        <w:pStyle w:val="NormalWeb"/>
        <w:spacing w:before="0" w:beforeAutospacing="0" w:after="0" w:afterAutospacing="0" w:line="360" w:lineRule="auto"/>
        <w:jc w:val="both"/>
        <w:rPr>
          <w:sz w:val="24"/>
          <w:szCs w:val="24"/>
        </w:rPr>
      </w:pPr>
      <w:r w:rsidRPr="008E2539">
        <w:rPr>
          <w:sz w:val="24"/>
          <w:szCs w:val="24"/>
        </w:rPr>
        <w:t>Exports of milk and cream (not concentrated nor containing added sweetening) were 2</w:t>
      </w:r>
      <w:r w:rsidR="00D74783">
        <w:rPr>
          <w:sz w:val="24"/>
          <w:szCs w:val="24"/>
        </w:rPr>
        <w:t>,</w:t>
      </w:r>
      <w:r w:rsidRPr="008E2539">
        <w:rPr>
          <w:sz w:val="24"/>
          <w:szCs w:val="24"/>
        </w:rPr>
        <w:t>2% lesser in the first quarter of 2017 compared with the first quarter of 2016, exporting a total of 19</w:t>
      </w:r>
      <w:r w:rsidR="00D74783">
        <w:rPr>
          <w:sz w:val="24"/>
          <w:szCs w:val="24"/>
        </w:rPr>
        <w:t>,</w:t>
      </w:r>
      <w:r w:rsidRPr="008E2539">
        <w:rPr>
          <w:sz w:val="24"/>
          <w:szCs w:val="24"/>
        </w:rPr>
        <w:t>55 million litres of milk and cream in the first quarter of 2017 compared with 19</w:t>
      </w:r>
      <w:r w:rsidR="00D74783">
        <w:rPr>
          <w:sz w:val="24"/>
          <w:szCs w:val="24"/>
        </w:rPr>
        <w:t>,</w:t>
      </w:r>
      <w:r w:rsidRPr="008E2539">
        <w:rPr>
          <w:sz w:val="24"/>
          <w:szCs w:val="24"/>
        </w:rPr>
        <w:t>99 million litres exported in the first quarter of 2016. Between fourth quarter of 2016 and the first quarter of 2017, exports of milk and cream (not concentrated nor containing added sweetening) decreased by 10% from 21</w:t>
      </w:r>
      <w:r w:rsidR="00D74783">
        <w:rPr>
          <w:sz w:val="24"/>
          <w:szCs w:val="24"/>
        </w:rPr>
        <w:t>,</w:t>
      </w:r>
      <w:r w:rsidRPr="008E2539">
        <w:rPr>
          <w:sz w:val="24"/>
          <w:szCs w:val="24"/>
        </w:rPr>
        <w:t>63 million litres in the fourth quarter of 2016 to 19</w:t>
      </w:r>
      <w:r w:rsidR="00D74783">
        <w:rPr>
          <w:sz w:val="24"/>
          <w:szCs w:val="24"/>
        </w:rPr>
        <w:t>,</w:t>
      </w:r>
      <w:r w:rsidRPr="008E2539">
        <w:rPr>
          <w:sz w:val="24"/>
          <w:szCs w:val="24"/>
        </w:rPr>
        <w:t>55 million litres in the first quarter of 2016. According to Absa (2017), the expected La Ni</w:t>
      </w:r>
      <w:r w:rsidRPr="008E2539">
        <w:rPr>
          <w:bCs/>
          <w:color w:val="222222"/>
          <w:sz w:val="24"/>
          <w:szCs w:val="24"/>
          <w:shd w:val="clear" w:color="auto" w:fill="FFFFFF"/>
        </w:rPr>
        <w:t>ñ</w:t>
      </w:r>
      <w:r w:rsidRPr="008E2539">
        <w:rPr>
          <w:sz w:val="24"/>
          <w:szCs w:val="24"/>
        </w:rPr>
        <w:t>a weather during the 2016/17 season will likely contribute positively to pasture conditions and be beneficial to rebuilding the herd. Furthermore, the weaker currency is expected to bring about opportunities for the growing export market.</w:t>
      </w:r>
    </w:p>
    <w:p w:rsidR="00A22959" w:rsidRPr="008E2539" w:rsidRDefault="00A22959" w:rsidP="00A22959">
      <w:pPr>
        <w:pStyle w:val="NormalWeb"/>
        <w:spacing w:before="0" w:beforeAutospacing="0" w:after="0" w:afterAutospacing="0" w:line="360" w:lineRule="auto"/>
        <w:jc w:val="both"/>
        <w:rPr>
          <w:sz w:val="24"/>
          <w:szCs w:val="24"/>
        </w:rPr>
      </w:pPr>
    </w:p>
    <w:p w:rsidR="00A22959" w:rsidRPr="008E2539" w:rsidRDefault="00A22959" w:rsidP="00A22959">
      <w:pPr>
        <w:pStyle w:val="NormalWeb"/>
        <w:spacing w:before="0" w:beforeAutospacing="0" w:after="0" w:afterAutospacing="0" w:line="360" w:lineRule="auto"/>
        <w:jc w:val="both"/>
        <w:rPr>
          <w:sz w:val="24"/>
          <w:szCs w:val="24"/>
        </w:rPr>
      </w:pPr>
      <w:r w:rsidRPr="008E2539">
        <w:rPr>
          <w:sz w:val="24"/>
          <w:szCs w:val="24"/>
        </w:rPr>
        <w:t>Imports of milk and cream increased significantly in the first quarter of 2017 compared to first quarter of 2016, increasing from 58 886 litres in the first quarter of 2016 to 7</w:t>
      </w:r>
      <w:r w:rsidR="00D74783">
        <w:rPr>
          <w:sz w:val="24"/>
          <w:szCs w:val="24"/>
        </w:rPr>
        <w:t>,</w:t>
      </w:r>
      <w:r w:rsidRPr="008E2539">
        <w:rPr>
          <w:sz w:val="24"/>
          <w:szCs w:val="24"/>
        </w:rPr>
        <w:t>72 million litres in the first quarter of 2017. Between the fourth quarter of 2016 and the first quarter of 2017, imports of milk and cream decreased by 26%, from 10</w:t>
      </w:r>
      <w:proofErr w:type="gramStart"/>
      <w:r w:rsidR="00D74783">
        <w:rPr>
          <w:sz w:val="24"/>
          <w:szCs w:val="24"/>
        </w:rPr>
        <w:t>,</w:t>
      </w:r>
      <w:r w:rsidRPr="008E2539">
        <w:rPr>
          <w:sz w:val="24"/>
          <w:szCs w:val="24"/>
        </w:rPr>
        <w:t>38</w:t>
      </w:r>
      <w:proofErr w:type="gramEnd"/>
      <w:r w:rsidRPr="008E2539">
        <w:rPr>
          <w:sz w:val="24"/>
          <w:szCs w:val="24"/>
        </w:rPr>
        <w:t xml:space="preserve"> million litres in the fourth quarter of 2016 to 7</w:t>
      </w:r>
      <w:r w:rsidR="00D74783">
        <w:rPr>
          <w:sz w:val="24"/>
          <w:szCs w:val="24"/>
        </w:rPr>
        <w:t>,</w:t>
      </w:r>
      <w:r w:rsidRPr="008E2539">
        <w:rPr>
          <w:sz w:val="24"/>
          <w:szCs w:val="24"/>
        </w:rPr>
        <w:t xml:space="preserve">72 million litres in the first quarter of 2017, see figure </w:t>
      </w:r>
      <w:r w:rsidR="00687472" w:rsidRPr="008E2539">
        <w:rPr>
          <w:sz w:val="24"/>
          <w:szCs w:val="24"/>
        </w:rPr>
        <w:t>4</w:t>
      </w:r>
      <w:r w:rsidR="00687472">
        <w:rPr>
          <w:sz w:val="24"/>
          <w:szCs w:val="24"/>
        </w:rPr>
        <w:t>5</w:t>
      </w:r>
      <w:r w:rsidRPr="008E2539">
        <w:rPr>
          <w:sz w:val="24"/>
          <w:szCs w:val="24"/>
        </w:rPr>
        <w:t xml:space="preserve">. </w:t>
      </w:r>
    </w:p>
    <w:p w:rsidR="00652668" w:rsidRPr="008E2539" w:rsidRDefault="00652668" w:rsidP="00A22959">
      <w:pPr>
        <w:pStyle w:val="NormalWeb"/>
        <w:spacing w:before="0" w:beforeAutospacing="0" w:after="0" w:afterAutospacing="0" w:line="360" w:lineRule="auto"/>
        <w:jc w:val="both"/>
        <w:rPr>
          <w:sz w:val="24"/>
          <w:szCs w:val="24"/>
        </w:rPr>
      </w:pPr>
    </w:p>
    <w:p w:rsidR="00A22959" w:rsidRPr="008E2539" w:rsidRDefault="00A22959" w:rsidP="00C5502F">
      <w:pPr>
        <w:pStyle w:val="Heading2"/>
        <w:spacing w:line="360" w:lineRule="auto"/>
        <w:rPr>
          <w:szCs w:val="24"/>
        </w:rPr>
      </w:pPr>
      <w:bookmarkStart w:id="326" w:name="_Toc489345841"/>
      <w:bookmarkStart w:id="327" w:name="_Toc489346046"/>
      <w:bookmarkStart w:id="328" w:name="_Toc489537771"/>
      <w:r w:rsidRPr="008E2539">
        <w:rPr>
          <w:szCs w:val="24"/>
        </w:rPr>
        <w:t>3.6 Trade of agricultural, forestry and fisheries</w:t>
      </w:r>
      <w:bookmarkEnd w:id="326"/>
      <w:bookmarkEnd w:id="327"/>
      <w:bookmarkEnd w:id="328"/>
    </w:p>
    <w:p w:rsidR="00A22959" w:rsidRPr="008E2539" w:rsidRDefault="00A22959" w:rsidP="00C5502F">
      <w:pPr>
        <w:pStyle w:val="NormalWeb"/>
        <w:spacing w:before="0" w:beforeAutospacing="0" w:after="0" w:afterAutospacing="0" w:line="360" w:lineRule="auto"/>
        <w:jc w:val="both"/>
        <w:rPr>
          <w:sz w:val="24"/>
          <w:szCs w:val="24"/>
        </w:rPr>
      </w:pPr>
      <w:r w:rsidRPr="008E2539">
        <w:rPr>
          <w:rFonts w:eastAsiaTheme="minorHAnsi"/>
          <w:sz w:val="24"/>
          <w:szCs w:val="24"/>
        </w:rPr>
        <w:t xml:space="preserve">After a slight downturn in the beginning of 2017, </w:t>
      </w:r>
      <w:r w:rsidRPr="008E2539">
        <w:rPr>
          <w:sz w:val="24"/>
          <w:szCs w:val="24"/>
        </w:rPr>
        <w:t xml:space="preserve">a rebound of domestic production is expected in 2017 that will likely boost agricultural exports going forward. As the Brexit debate takes shape in early to mid-2017, expectations are deliberations of the outcome </w:t>
      </w:r>
      <w:r w:rsidR="007969F7">
        <w:rPr>
          <w:sz w:val="24"/>
          <w:szCs w:val="24"/>
        </w:rPr>
        <w:t xml:space="preserve">that </w:t>
      </w:r>
      <w:r w:rsidRPr="008E2539">
        <w:rPr>
          <w:sz w:val="24"/>
          <w:szCs w:val="24"/>
        </w:rPr>
        <w:t xml:space="preserve">will likely not have any impact on South Africa’s exports. According to </w:t>
      </w:r>
      <w:proofErr w:type="spellStart"/>
      <w:r w:rsidRPr="008E2539">
        <w:rPr>
          <w:sz w:val="24"/>
          <w:szCs w:val="24"/>
        </w:rPr>
        <w:t>Agbiz</w:t>
      </w:r>
      <w:proofErr w:type="spellEnd"/>
      <w:r w:rsidRPr="008E2539">
        <w:rPr>
          <w:sz w:val="24"/>
          <w:szCs w:val="24"/>
        </w:rPr>
        <w:t xml:space="preserve"> (2017), the diversification of exports will likely continue, particularly for fresh fruit into Asia and the Middle East (</w:t>
      </w:r>
      <w:proofErr w:type="spellStart"/>
      <w:r w:rsidRPr="008E2539">
        <w:rPr>
          <w:sz w:val="24"/>
          <w:szCs w:val="24"/>
        </w:rPr>
        <w:t>Agbiz</w:t>
      </w:r>
      <w:proofErr w:type="spellEnd"/>
      <w:r w:rsidRPr="008E2539">
        <w:rPr>
          <w:sz w:val="24"/>
          <w:szCs w:val="24"/>
        </w:rPr>
        <w:t>, 2017).</w:t>
      </w:r>
    </w:p>
    <w:p w:rsidR="00A22959" w:rsidRPr="008E2539" w:rsidRDefault="00A22959" w:rsidP="00A22959">
      <w:pPr>
        <w:pStyle w:val="NormalWeb"/>
        <w:spacing w:before="0" w:beforeAutospacing="0" w:after="0" w:afterAutospacing="0" w:line="360" w:lineRule="auto"/>
        <w:jc w:val="both"/>
        <w:rPr>
          <w:sz w:val="24"/>
          <w:szCs w:val="24"/>
        </w:rPr>
      </w:pPr>
    </w:p>
    <w:p w:rsidR="00A22959" w:rsidRPr="008E2539" w:rsidRDefault="00A22959" w:rsidP="00A22959">
      <w:pPr>
        <w:pStyle w:val="NormalWeb"/>
        <w:spacing w:before="0" w:beforeAutospacing="0" w:after="0" w:afterAutospacing="0" w:line="360" w:lineRule="auto"/>
        <w:jc w:val="both"/>
        <w:rPr>
          <w:sz w:val="24"/>
          <w:szCs w:val="24"/>
        </w:rPr>
      </w:pPr>
      <w:r w:rsidRPr="008E2539">
        <w:rPr>
          <w:sz w:val="24"/>
          <w:szCs w:val="24"/>
        </w:rPr>
        <w:t>In the first quarter of 2017, exports of agricultural products decreased by 3%, from R29</w:t>
      </w:r>
      <w:proofErr w:type="gramStart"/>
      <w:r w:rsidR="007969F7">
        <w:rPr>
          <w:sz w:val="24"/>
          <w:szCs w:val="24"/>
        </w:rPr>
        <w:t>,</w:t>
      </w:r>
      <w:r w:rsidRPr="008E2539">
        <w:rPr>
          <w:sz w:val="24"/>
          <w:szCs w:val="24"/>
        </w:rPr>
        <w:t>12</w:t>
      </w:r>
      <w:proofErr w:type="gramEnd"/>
      <w:r w:rsidRPr="008E2539">
        <w:rPr>
          <w:sz w:val="24"/>
          <w:szCs w:val="24"/>
        </w:rPr>
        <w:t xml:space="preserve"> billion in the first quarter of 2016 to R28</w:t>
      </w:r>
      <w:r w:rsidR="007969F7">
        <w:rPr>
          <w:sz w:val="24"/>
          <w:szCs w:val="24"/>
        </w:rPr>
        <w:t>,</w:t>
      </w:r>
      <w:r w:rsidRPr="008E2539">
        <w:rPr>
          <w:sz w:val="24"/>
          <w:szCs w:val="24"/>
        </w:rPr>
        <w:t>22 billion in the first quarter of 2017. During the same period, imports of agricultural products grew by 2%, from R21</w:t>
      </w:r>
      <w:proofErr w:type="gramStart"/>
      <w:r w:rsidR="007969F7">
        <w:rPr>
          <w:sz w:val="24"/>
          <w:szCs w:val="24"/>
        </w:rPr>
        <w:t>,</w:t>
      </w:r>
      <w:r w:rsidRPr="008E2539">
        <w:rPr>
          <w:sz w:val="24"/>
          <w:szCs w:val="24"/>
        </w:rPr>
        <w:t>95</w:t>
      </w:r>
      <w:proofErr w:type="gramEnd"/>
      <w:r w:rsidRPr="008E2539">
        <w:rPr>
          <w:sz w:val="24"/>
          <w:szCs w:val="24"/>
        </w:rPr>
        <w:t xml:space="preserve"> billion in the first quarter of 2016 to R22</w:t>
      </w:r>
      <w:r w:rsidR="007969F7">
        <w:rPr>
          <w:sz w:val="24"/>
          <w:szCs w:val="24"/>
        </w:rPr>
        <w:t>,</w:t>
      </w:r>
      <w:r w:rsidRPr="008E2539">
        <w:rPr>
          <w:sz w:val="24"/>
          <w:szCs w:val="24"/>
        </w:rPr>
        <w:t xml:space="preserve">33 billion in the first quarter of 2017, see Figure </w:t>
      </w:r>
      <w:r w:rsidR="00687472" w:rsidRPr="008E2539">
        <w:rPr>
          <w:sz w:val="24"/>
          <w:szCs w:val="24"/>
        </w:rPr>
        <w:t>4</w:t>
      </w:r>
      <w:r w:rsidR="00687472">
        <w:rPr>
          <w:sz w:val="24"/>
          <w:szCs w:val="24"/>
        </w:rPr>
        <w:t>6</w:t>
      </w:r>
      <w:r w:rsidRPr="008E2539">
        <w:rPr>
          <w:sz w:val="24"/>
          <w:szCs w:val="24"/>
        </w:rPr>
        <w:t>.</w:t>
      </w:r>
    </w:p>
    <w:p w:rsidR="00A22959" w:rsidRPr="00AD3A66" w:rsidRDefault="00A22959" w:rsidP="00A22959">
      <w:pPr>
        <w:pStyle w:val="NormalWeb"/>
        <w:spacing w:before="0" w:beforeAutospacing="0" w:after="0" w:afterAutospacing="0" w:line="360" w:lineRule="auto"/>
        <w:jc w:val="both"/>
        <w:rPr>
          <w:color w:val="auto"/>
          <w:sz w:val="24"/>
          <w:szCs w:val="24"/>
        </w:rPr>
      </w:pPr>
    </w:p>
    <w:p w:rsidR="00A22959" w:rsidRPr="00AF598B" w:rsidRDefault="00A22959" w:rsidP="00CE338D">
      <w:pPr>
        <w:pStyle w:val="NormalWeb"/>
        <w:spacing w:before="0" w:beforeAutospacing="0" w:after="0" w:afterAutospacing="0" w:line="240" w:lineRule="auto"/>
        <w:jc w:val="both"/>
        <w:rPr>
          <w:color w:val="auto"/>
          <w:sz w:val="24"/>
          <w:szCs w:val="24"/>
        </w:rPr>
      </w:pPr>
      <w:r w:rsidRPr="00FC2974">
        <w:rPr>
          <w:noProof/>
          <w:color w:val="auto"/>
          <w:sz w:val="24"/>
          <w:szCs w:val="24"/>
        </w:rPr>
        <w:drawing>
          <wp:inline distT="0" distB="0" distL="0" distR="0" wp14:anchorId="3D65263B" wp14:editId="6C787FF2">
            <wp:extent cx="5446206" cy="2602523"/>
            <wp:effectExtent l="0" t="0" r="21590" b="26670"/>
            <wp:docPr id="20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22959" w:rsidRPr="00692D83" w:rsidRDefault="00A22959" w:rsidP="00CE338D">
      <w:pPr>
        <w:pStyle w:val="Heading3"/>
        <w:spacing w:before="0" w:line="240" w:lineRule="auto"/>
      </w:pPr>
      <w:bookmarkStart w:id="329" w:name="_Toc489345842"/>
      <w:bookmarkStart w:id="330" w:name="_Toc489346047"/>
      <w:bookmarkStart w:id="331" w:name="_Toc489537772"/>
      <w:r w:rsidRPr="00692D83">
        <w:rPr>
          <w:b/>
        </w:rPr>
        <w:t xml:space="preserve">Figure </w:t>
      </w:r>
      <w:r w:rsidR="00687472" w:rsidRPr="00692D83">
        <w:rPr>
          <w:b/>
        </w:rPr>
        <w:t>4</w:t>
      </w:r>
      <w:r w:rsidR="00687472">
        <w:rPr>
          <w:b/>
        </w:rPr>
        <w:t>6</w:t>
      </w:r>
      <w:r w:rsidRPr="00692D83">
        <w:rPr>
          <w:b/>
        </w:rPr>
        <w:t xml:space="preserve">: </w:t>
      </w:r>
      <w:r w:rsidRPr="00692D83">
        <w:t>Trade balance of agricultural products</w:t>
      </w:r>
      <w:bookmarkEnd w:id="329"/>
      <w:bookmarkEnd w:id="330"/>
      <w:bookmarkEnd w:id="331"/>
      <w:r w:rsidRPr="00692D83">
        <w:t xml:space="preserve"> </w:t>
      </w:r>
    </w:p>
    <w:p w:rsidR="00A22959" w:rsidRPr="00692D83" w:rsidRDefault="00A22959" w:rsidP="00A251EF">
      <w:bookmarkStart w:id="332" w:name="_Toc489345843"/>
      <w:bookmarkStart w:id="333" w:name="_Toc489346048"/>
      <w:r>
        <w:t>Source: GTA, 2017</w:t>
      </w:r>
      <w:bookmarkEnd w:id="332"/>
      <w:bookmarkEnd w:id="333"/>
    </w:p>
    <w:p w:rsidR="00A22959" w:rsidRDefault="00A22959" w:rsidP="00A22959">
      <w:pPr>
        <w:pStyle w:val="NormalWeb"/>
        <w:spacing w:before="0" w:beforeAutospacing="0" w:after="0" w:afterAutospacing="0" w:line="360" w:lineRule="auto"/>
        <w:jc w:val="both"/>
        <w:rPr>
          <w:sz w:val="24"/>
          <w:szCs w:val="24"/>
        </w:rPr>
      </w:pPr>
    </w:p>
    <w:p w:rsidR="00A22959" w:rsidRPr="008E2539" w:rsidRDefault="00A22959" w:rsidP="00A22959">
      <w:pPr>
        <w:pStyle w:val="NormalWeb"/>
        <w:spacing w:before="0" w:beforeAutospacing="0" w:after="0" w:afterAutospacing="0" w:line="360" w:lineRule="auto"/>
        <w:jc w:val="both"/>
        <w:rPr>
          <w:sz w:val="24"/>
          <w:szCs w:val="24"/>
        </w:rPr>
      </w:pPr>
      <w:r w:rsidRPr="008E2539">
        <w:rPr>
          <w:sz w:val="24"/>
          <w:szCs w:val="24"/>
        </w:rPr>
        <w:t>Figure 4</w:t>
      </w:r>
      <w:r w:rsidR="00A251EF">
        <w:rPr>
          <w:sz w:val="24"/>
          <w:szCs w:val="24"/>
        </w:rPr>
        <w:t>7</w:t>
      </w:r>
      <w:r w:rsidRPr="008E2539">
        <w:rPr>
          <w:sz w:val="24"/>
          <w:szCs w:val="24"/>
        </w:rPr>
        <w:t xml:space="preserve"> illustrates South Africa gained most of its agricultural export revenue from products exported to Netherlands, which was the leading export destination, followed by United Kingdom and Namibia.</w:t>
      </w:r>
    </w:p>
    <w:p w:rsidR="00A22959" w:rsidRPr="00E01F39" w:rsidRDefault="00DE79FD" w:rsidP="00DE79FD">
      <w:pPr>
        <w:pStyle w:val="NormalWeb"/>
        <w:tabs>
          <w:tab w:val="left" w:pos="3972"/>
        </w:tabs>
        <w:spacing w:before="0" w:beforeAutospacing="0" w:after="0" w:afterAutospacing="0" w:line="360" w:lineRule="auto"/>
        <w:jc w:val="both"/>
        <w:rPr>
          <w:sz w:val="24"/>
          <w:szCs w:val="24"/>
        </w:rPr>
      </w:pPr>
      <w:r>
        <w:rPr>
          <w:sz w:val="24"/>
          <w:szCs w:val="24"/>
        </w:rPr>
        <w:tab/>
      </w:r>
    </w:p>
    <w:p w:rsidR="00A22959" w:rsidRDefault="00A22959" w:rsidP="00CE338D">
      <w:pPr>
        <w:pStyle w:val="NormalWeb"/>
        <w:spacing w:before="0" w:beforeAutospacing="0" w:after="0" w:afterAutospacing="0" w:line="240" w:lineRule="auto"/>
        <w:jc w:val="both"/>
        <w:rPr>
          <w:sz w:val="24"/>
          <w:szCs w:val="24"/>
        </w:rPr>
      </w:pPr>
      <w:r w:rsidRPr="00D165B4">
        <w:rPr>
          <w:noProof/>
          <w:sz w:val="24"/>
          <w:szCs w:val="24"/>
        </w:rPr>
        <w:drawing>
          <wp:inline distT="0" distB="0" distL="0" distR="0" wp14:anchorId="65D150F0" wp14:editId="2A1AE1ED">
            <wp:extent cx="5076825" cy="2457450"/>
            <wp:effectExtent l="19050" t="0" r="9525" b="0"/>
            <wp:docPr id="20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22959" w:rsidRPr="00D90453" w:rsidRDefault="00A22959" w:rsidP="00CE338D">
      <w:pPr>
        <w:pStyle w:val="Heading3"/>
        <w:spacing w:before="0" w:line="240" w:lineRule="auto"/>
      </w:pPr>
      <w:bookmarkStart w:id="334" w:name="_Toc489345844"/>
      <w:bookmarkStart w:id="335" w:name="_Toc489346049"/>
      <w:bookmarkStart w:id="336" w:name="_Toc489537773"/>
      <w:r w:rsidRPr="00D90453">
        <w:rPr>
          <w:b/>
        </w:rPr>
        <w:t xml:space="preserve">Figure </w:t>
      </w:r>
      <w:r w:rsidR="00687472">
        <w:rPr>
          <w:b/>
        </w:rPr>
        <w:t>4</w:t>
      </w:r>
      <w:r w:rsidR="00687472">
        <w:rPr>
          <w:b/>
        </w:rPr>
        <w:t>7</w:t>
      </w:r>
      <w:r w:rsidRPr="00D90453">
        <w:rPr>
          <w:b/>
        </w:rPr>
        <w:t>:</w:t>
      </w:r>
      <w:r w:rsidRPr="00D90453">
        <w:t xml:space="preserve"> Top Three markets of agricultural products exported by SA</w:t>
      </w:r>
      <w:bookmarkEnd w:id="334"/>
      <w:bookmarkEnd w:id="335"/>
      <w:bookmarkEnd w:id="336"/>
      <w:r w:rsidRPr="00D90453">
        <w:tab/>
        <w:t xml:space="preserve">              </w:t>
      </w:r>
    </w:p>
    <w:p w:rsidR="00A22959" w:rsidRPr="00D90453" w:rsidRDefault="00A22959" w:rsidP="00A251EF">
      <w:bookmarkStart w:id="337" w:name="_Toc489345845"/>
      <w:bookmarkStart w:id="338" w:name="_Toc489346050"/>
      <w:r>
        <w:t>Source: GTA, 2017</w:t>
      </w:r>
      <w:bookmarkEnd w:id="337"/>
      <w:bookmarkEnd w:id="338"/>
    </w:p>
    <w:p w:rsidR="008E2539" w:rsidRDefault="008E2539" w:rsidP="00A22959">
      <w:pPr>
        <w:spacing w:line="360" w:lineRule="auto"/>
        <w:jc w:val="both"/>
        <w:rPr>
          <w:rFonts w:cs="Arial"/>
          <w:sz w:val="24"/>
          <w:szCs w:val="24"/>
        </w:rPr>
      </w:pPr>
    </w:p>
    <w:p w:rsidR="00A22959" w:rsidRPr="008E2539" w:rsidRDefault="00A22959" w:rsidP="00A22959">
      <w:pPr>
        <w:spacing w:line="360" w:lineRule="auto"/>
        <w:jc w:val="both"/>
        <w:rPr>
          <w:rFonts w:cs="Arial"/>
          <w:sz w:val="24"/>
          <w:szCs w:val="24"/>
        </w:rPr>
      </w:pPr>
      <w:r w:rsidRPr="008E2539">
        <w:rPr>
          <w:rFonts w:cs="Arial"/>
          <w:sz w:val="24"/>
          <w:szCs w:val="24"/>
        </w:rPr>
        <w:t>The top three agricultural products which contributed a considerable amount to the total export value in the f</w:t>
      </w:r>
      <w:r w:rsidR="007D3E37">
        <w:rPr>
          <w:rFonts w:cs="Arial"/>
          <w:sz w:val="24"/>
          <w:szCs w:val="24"/>
        </w:rPr>
        <w:t xml:space="preserve">irst </w:t>
      </w:r>
      <w:r w:rsidRPr="008E2539">
        <w:rPr>
          <w:rFonts w:cs="Arial"/>
          <w:sz w:val="24"/>
          <w:szCs w:val="24"/>
        </w:rPr>
        <w:t>quarter of 201</w:t>
      </w:r>
      <w:r w:rsidR="007D3E37">
        <w:rPr>
          <w:rFonts w:cs="Arial"/>
          <w:sz w:val="24"/>
          <w:szCs w:val="24"/>
        </w:rPr>
        <w:t>7</w:t>
      </w:r>
      <w:r w:rsidRPr="008E2539">
        <w:rPr>
          <w:rFonts w:cs="Arial"/>
          <w:sz w:val="24"/>
          <w:szCs w:val="24"/>
        </w:rPr>
        <w:t xml:space="preserve"> include fresh grapes (18%), wine (5%) and wool (4%) respectively, see Figure </w:t>
      </w:r>
      <w:r w:rsidR="00687472" w:rsidRPr="008E2539">
        <w:rPr>
          <w:rFonts w:cs="Arial"/>
          <w:sz w:val="24"/>
          <w:szCs w:val="24"/>
        </w:rPr>
        <w:t>4</w:t>
      </w:r>
      <w:r w:rsidR="00687472">
        <w:rPr>
          <w:rFonts w:cs="Arial"/>
          <w:sz w:val="24"/>
          <w:szCs w:val="24"/>
        </w:rPr>
        <w:t>8</w:t>
      </w:r>
      <w:r w:rsidRPr="008E2539">
        <w:rPr>
          <w:rFonts w:cs="Arial"/>
          <w:sz w:val="24"/>
          <w:szCs w:val="24"/>
        </w:rPr>
        <w:t xml:space="preserve">.  </w:t>
      </w:r>
    </w:p>
    <w:p w:rsidR="00A22959" w:rsidRDefault="00A22959" w:rsidP="00CE338D">
      <w:pPr>
        <w:spacing w:after="0" w:line="240" w:lineRule="auto"/>
        <w:jc w:val="both"/>
        <w:rPr>
          <w:rFonts w:cs="Arial"/>
        </w:rPr>
      </w:pPr>
      <w:r w:rsidRPr="00823266">
        <w:rPr>
          <w:rFonts w:cs="Arial"/>
          <w:noProof/>
        </w:rPr>
        <w:drawing>
          <wp:inline distT="0" distB="0" distL="0" distR="0" wp14:anchorId="645A19A9" wp14:editId="6F975D0E">
            <wp:extent cx="5276850" cy="2895600"/>
            <wp:effectExtent l="19050" t="0" r="19050" b="0"/>
            <wp:docPr id="20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22959" w:rsidRPr="00981EEF" w:rsidRDefault="00A22959" w:rsidP="00CE338D">
      <w:pPr>
        <w:pStyle w:val="Heading3"/>
        <w:spacing w:before="0" w:line="240" w:lineRule="auto"/>
      </w:pPr>
      <w:bookmarkStart w:id="339" w:name="_Toc489345846"/>
      <w:bookmarkStart w:id="340" w:name="_Toc489346051"/>
      <w:bookmarkStart w:id="341" w:name="_Toc489537774"/>
      <w:r w:rsidRPr="00981EEF">
        <w:rPr>
          <w:b/>
        </w:rPr>
        <w:t xml:space="preserve">Figure </w:t>
      </w:r>
      <w:r w:rsidR="00687472" w:rsidRPr="00981EEF">
        <w:rPr>
          <w:b/>
        </w:rPr>
        <w:t>4</w:t>
      </w:r>
      <w:r w:rsidR="00687472">
        <w:rPr>
          <w:b/>
        </w:rPr>
        <w:t>8</w:t>
      </w:r>
      <w:r w:rsidRPr="00981EEF">
        <w:rPr>
          <w:b/>
        </w:rPr>
        <w:t>:</w:t>
      </w:r>
      <w:r w:rsidRPr="00981EEF">
        <w:t xml:space="preserve"> Top five agricultural products exported by SA</w:t>
      </w:r>
      <w:bookmarkEnd w:id="339"/>
      <w:bookmarkEnd w:id="340"/>
      <w:bookmarkEnd w:id="341"/>
    </w:p>
    <w:p w:rsidR="00A22959" w:rsidRPr="00981EEF" w:rsidRDefault="00A22959" w:rsidP="00A251EF">
      <w:bookmarkStart w:id="342" w:name="_Toc489345847"/>
      <w:bookmarkStart w:id="343" w:name="_Toc489346052"/>
      <w:r w:rsidRPr="00981EEF">
        <w:t>Source: GTA, 201</w:t>
      </w:r>
      <w:r>
        <w:t>7</w:t>
      </w:r>
      <w:bookmarkEnd w:id="342"/>
      <w:bookmarkEnd w:id="343"/>
    </w:p>
    <w:p w:rsidR="00A22959" w:rsidRPr="008E2539" w:rsidRDefault="00A22959" w:rsidP="00A22959">
      <w:pPr>
        <w:spacing w:line="360" w:lineRule="auto"/>
        <w:jc w:val="both"/>
        <w:rPr>
          <w:rFonts w:cs="Arial"/>
          <w:sz w:val="24"/>
          <w:szCs w:val="24"/>
        </w:rPr>
      </w:pPr>
      <w:r w:rsidRPr="008E2539">
        <w:rPr>
          <w:rFonts w:cs="Arial"/>
          <w:sz w:val="24"/>
          <w:szCs w:val="24"/>
        </w:rPr>
        <w:t>The agricultural sector is expected to benefit from the normalisation of climatic conditions. The associated decline in agricultural prices is expected to translate into lower input costs for the food processing sector, thereby increasing price competitiveness (IDC, 2017). Analysts further expect that an improvement in agricultural conditions and production will likely result in an escape of the current mediocre growth path by the end of 2017 (</w:t>
      </w:r>
      <w:proofErr w:type="spellStart"/>
      <w:r w:rsidRPr="008E2539">
        <w:rPr>
          <w:rFonts w:cs="Arial"/>
          <w:sz w:val="24"/>
          <w:szCs w:val="24"/>
        </w:rPr>
        <w:t>Agbiz</w:t>
      </w:r>
      <w:proofErr w:type="spellEnd"/>
      <w:r w:rsidRPr="008E2539">
        <w:rPr>
          <w:rFonts w:cs="Arial"/>
          <w:sz w:val="24"/>
          <w:szCs w:val="24"/>
        </w:rPr>
        <w:t xml:space="preserve">, 2016). </w:t>
      </w:r>
    </w:p>
    <w:p w:rsidR="00A22959" w:rsidRPr="008E2539" w:rsidRDefault="00A22959" w:rsidP="00A22959">
      <w:pPr>
        <w:spacing w:line="360" w:lineRule="auto"/>
        <w:jc w:val="both"/>
        <w:rPr>
          <w:rFonts w:cs="Arial"/>
          <w:sz w:val="24"/>
          <w:szCs w:val="24"/>
        </w:rPr>
      </w:pPr>
      <w:r w:rsidRPr="008E2539">
        <w:rPr>
          <w:rFonts w:cs="Arial"/>
          <w:sz w:val="24"/>
          <w:szCs w:val="24"/>
        </w:rPr>
        <w:t>In the first quarter of 2017, the total import value of agricultural products increased by 2%, from R 21</w:t>
      </w:r>
      <w:proofErr w:type="gramStart"/>
      <w:r w:rsidR="005C5CE7">
        <w:rPr>
          <w:rFonts w:cs="Arial"/>
          <w:sz w:val="24"/>
          <w:szCs w:val="24"/>
        </w:rPr>
        <w:t>,</w:t>
      </w:r>
      <w:r w:rsidRPr="008E2539">
        <w:rPr>
          <w:rFonts w:cs="Arial"/>
          <w:sz w:val="24"/>
          <w:szCs w:val="24"/>
        </w:rPr>
        <w:t>95</w:t>
      </w:r>
      <w:proofErr w:type="gramEnd"/>
      <w:r w:rsidRPr="008E2539">
        <w:rPr>
          <w:rFonts w:cs="Arial"/>
          <w:sz w:val="24"/>
          <w:szCs w:val="24"/>
        </w:rPr>
        <w:t xml:space="preserve"> billion in the first quarter of 2016 to R22</w:t>
      </w:r>
      <w:r w:rsidR="005C5CE7">
        <w:rPr>
          <w:rFonts w:cs="Arial"/>
          <w:sz w:val="24"/>
          <w:szCs w:val="24"/>
        </w:rPr>
        <w:t>,</w:t>
      </w:r>
      <w:r w:rsidRPr="008E2539">
        <w:rPr>
          <w:rFonts w:cs="Arial"/>
          <w:sz w:val="24"/>
          <w:szCs w:val="24"/>
        </w:rPr>
        <w:t xml:space="preserve">33 billion in the first quarter of 2017. The top three suppliers of agricultural products to the total import value were United States, Brazil and Argentina, see Figure </w:t>
      </w:r>
      <w:r w:rsidR="00687472">
        <w:rPr>
          <w:rFonts w:cs="Arial"/>
          <w:sz w:val="24"/>
          <w:szCs w:val="24"/>
        </w:rPr>
        <w:t>49</w:t>
      </w:r>
      <w:r w:rsidRPr="008E2539">
        <w:rPr>
          <w:rFonts w:cs="Arial"/>
          <w:sz w:val="24"/>
          <w:szCs w:val="24"/>
        </w:rPr>
        <w:t xml:space="preserve">. </w:t>
      </w:r>
    </w:p>
    <w:p w:rsidR="00A22959" w:rsidRPr="00FC2974" w:rsidRDefault="00A22959" w:rsidP="00CE338D">
      <w:pPr>
        <w:spacing w:after="0" w:line="240" w:lineRule="auto"/>
        <w:jc w:val="both"/>
        <w:rPr>
          <w:rFonts w:cs="Arial"/>
        </w:rPr>
      </w:pPr>
      <w:r w:rsidRPr="009656AE">
        <w:rPr>
          <w:rFonts w:cs="Arial"/>
          <w:noProof/>
        </w:rPr>
        <w:drawing>
          <wp:inline distT="0" distB="0" distL="0" distR="0" wp14:anchorId="1CD9DB2C" wp14:editId="6CB9EED7">
            <wp:extent cx="5627077" cy="2672861"/>
            <wp:effectExtent l="0" t="0" r="12065" b="13335"/>
            <wp:docPr id="20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22959" w:rsidRPr="00981EEF" w:rsidRDefault="00A22959" w:rsidP="00CE338D">
      <w:pPr>
        <w:pStyle w:val="Heading3"/>
        <w:spacing w:before="0" w:line="240" w:lineRule="auto"/>
        <w:rPr>
          <w:b/>
        </w:rPr>
      </w:pPr>
      <w:bookmarkStart w:id="344" w:name="_Toc489345848"/>
      <w:bookmarkStart w:id="345" w:name="_Toc489346053"/>
      <w:bookmarkStart w:id="346" w:name="_Toc489537775"/>
      <w:r w:rsidRPr="00981EEF">
        <w:rPr>
          <w:b/>
        </w:rPr>
        <w:t xml:space="preserve">Figure </w:t>
      </w:r>
      <w:r w:rsidR="00687472">
        <w:rPr>
          <w:b/>
        </w:rPr>
        <w:t>49</w:t>
      </w:r>
      <w:r w:rsidRPr="00981EEF">
        <w:rPr>
          <w:b/>
        </w:rPr>
        <w:t>:</w:t>
      </w:r>
      <w:r w:rsidRPr="00981EEF">
        <w:t xml:space="preserve">  Top three market suppliers of agricultural products to SA</w:t>
      </w:r>
      <w:bookmarkEnd w:id="344"/>
      <w:bookmarkEnd w:id="345"/>
      <w:bookmarkEnd w:id="346"/>
    </w:p>
    <w:p w:rsidR="00A22959" w:rsidRPr="00981EEF" w:rsidRDefault="00A22959" w:rsidP="00A251EF">
      <w:bookmarkStart w:id="347" w:name="_Toc489345849"/>
      <w:bookmarkStart w:id="348" w:name="_Toc489346054"/>
      <w:r w:rsidRPr="00981EEF">
        <w:t>Source: GTA, 201</w:t>
      </w:r>
      <w:r>
        <w:t>7</w:t>
      </w:r>
      <w:bookmarkEnd w:id="347"/>
      <w:bookmarkEnd w:id="348"/>
    </w:p>
    <w:p w:rsidR="00A22959" w:rsidRDefault="00A22959" w:rsidP="00A22959">
      <w:pPr>
        <w:spacing w:line="360" w:lineRule="auto"/>
        <w:jc w:val="both"/>
        <w:rPr>
          <w:rFonts w:cs="Arial"/>
        </w:rPr>
      </w:pPr>
      <w:r w:rsidRPr="008E2539">
        <w:rPr>
          <w:rFonts w:cs="Arial"/>
          <w:sz w:val="24"/>
          <w:szCs w:val="24"/>
        </w:rPr>
        <w:t>The top three agricultural products which contributed a considerable amount to the total import value include cane (6</w:t>
      </w:r>
      <w:proofErr w:type="gramStart"/>
      <w:r w:rsidR="005C5CE7">
        <w:rPr>
          <w:rFonts w:cs="Arial"/>
          <w:sz w:val="24"/>
          <w:szCs w:val="24"/>
        </w:rPr>
        <w:t>,</w:t>
      </w:r>
      <w:r w:rsidRPr="008E2539">
        <w:rPr>
          <w:rFonts w:cs="Arial"/>
          <w:sz w:val="24"/>
          <w:szCs w:val="24"/>
        </w:rPr>
        <w:t>32</w:t>
      </w:r>
      <w:proofErr w:type="gramEnd"/>
      <w:r w:rsidRPr="008E2539">
        <w:rPr>
          <w:rFonts w:cs="Arial"/>
          <w:sz w:val="24"/>
          <w:szCs w:val="24"/>
        </w:rPr>
        <w:t>%), rice (6</w:t>
      </w:r>
      <w:r w:rsidR="005C5CE7">
        <w:rPr>
          <w:rFonts w:cs="Arial"/>
          <w:sz w:val="24"/>
          <w:szCs w:val="24"/>
        </w:rPr>
        <w:t>,</w:t>
      </w:r>
      <w:r w:rsidRPr="008E2539">
        <w:rPr>
          <w:rFonts w:cs="Arial"/>
          <w:sz w:val="24"/>
          <w:szCs w:val="24"/>
        </w:rPr>
        <w:t>27%) and corn or maize (5</w:t>
      </w:r>
      <w:r w:rsidR="005C5CE7">
        <w:rPr>
          <w:rFonts w:cs="Arial"/>
          <w:sz w:val="24"/>
          <w:szCs w:val="24"/>
        </w:rPr>
        <w:t>,</w:t>
      </w:r>
      <w:r w:rsidRPr="008E2539">
        <w:rPr>
          <w:rFonts w:cs="Arial"/>
          <w:sz w:val="24"/>
          <w:szCs w:val="24"/>
        </w:rPr>
        <w:t xml:space="preserve">79%),  see Figure </w:t>
      </w:r>
      <w:r w:rsidR="00687472">
        <w:rPr>
          <w:rFonts w:cs="Arial"/>
          <w:sz w:val="24"/>
          <w:szCs w:val="24"/>
        </w:rPr>
        <w:t>5</w:t>
      </w:r>
      <w:r w:rsidR="00687472">
        <w:rPr>
          <w:rFonts w:cs="Arial"/>
          <w:sz w:val="24"/>
          <w:szCs w:val="24"/>
        </w:rPr>
        <w:t>0</w:t>
      </w:r>
      <w:r>
        <w:rPr>
          <w:rFonts w:cs="Arial"/>
        </w:rPr>
        <w:t>.</w:t>
      </w:r>
    </w:p>
    <w:p w:rsidR="00A22959" w:rsidRDefault="00A22959" w:rsidP="003561BD">
      <w:pPr>
        <w:pStyle w:val="NormalWeb"/>
        <w:spacing w:before="0" w:beforeAutospacing="0" w:after="0" w:afterAutospacing="0" w:line="240" w:lineRule="auto"/>
        <w:jc w:val="both"/>
        <w:rPr>
          <w:sz w:val="24"/>
          <w:szCs w:val="24"/>
        </w:rPr>
      </w:pPr>
      <w:r w:rsidRPr="00823266">
        <w:rPr>
          <w:noProof/>
          <w:sz w:val="24"/>
          <w:szCs w:val="24"/>
        </w:rPr>
        <w:drawing>
          <wp:inline distT="0" distB="0" distL="0" distR="0" wp14:anchorId="340C8F5D" wp14:editId="60E4B3C8">
            <wp:extent cx="5172075" cy="2314575"/>
            <wp:effectExtent l="19050" t="0" r="9525" b="0"/>
            <wp:docPr id="20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22959" w:rsidRPr="00981EEF" w:rsidRDefault="00A22959" w:rsidP="003561BD">
      <w:pPr>
        <w:pStyle w:val="Heading3"/>
        <w:spacing w:before="0" w:line="240" w:lineRule="auto"/>
      </w:pPr>
      <w:bookmarkStart w:id="349" w:name="_Toc489345850"/>
      <w:bookmarkStart w:id="350" w:name="_Toc489346055"/>
      <w:bookmarkStart w:id="351" w:name="_Toc489537776"/>
      <w:r w:rsidRPr="00981EEF">
        <w:rPr>
          <w:b/>
        </w:rPr>
        <w:t xml:space="preserve">Figure </w:t>
      </w:r>
      <w:r w:rsidR="00687472">
        <w:rPr>
          <w:b/>
        </w:rPr>
        <w:t>5</w:t>
      </w:r>
      <w:r w:rsidR="00687472">
        <w:rPr>
          <w:b/>
        </w:rPr>
        <w:t>0</w:t>
      </w:r>
      <w:r w:rsidRPr="00981EEF">
        <w:rPr>
          <w:b/>
        </w:rPr>
        <w:t>:</w:t>
      </w:r>
      <w:r w:rsidRPr="00981EEF">
        <w:t xml:space="preserve"> Top five agricultural products imported by SA</w:t>
      </w:r>
      <w:bookmarkEnd w:id="349"/>
      <w:bookmarkEnd w:id="350"/>
      <w:bookmarkEnd w:id="351"/>
    </w:p>
    <w:p w:rsidR="00A22959" w:rsidRDefault="00A22959" w:rsidP="00A251EF">
      <w:bookmarkStart w:id="352" w:name="_Toc489345851"/>
      <w:bookmarkStart w:id="353" w:name="_Toc489346056"/>
      <w:r w:rsidRPr="00981EEF">
        <w:t>Source: GTA, 201</w:t>
      </w:r>
      <w:r>
        <w:t>7</w:t>
      </w:r>
      <w:bookmarkEnd w:id="352"/>
      <w:bookmarkEnd w:id="353"/>
    </w:p>
    <w:p w:rsidR="00C5502F" w:rsidRDefault="00C5502F" w:rsidP="00A22959">
      <w:pPr>
        <w:pStyle w:val="NormalWeb"/>
        <w:spacing w:before="0" w:beforeAutospacing="0" w:after="0" w:afterAutospacing="0" w:line="360" w:lineRule="auto"/>
        <w:jc w:val="both"/>
        <w:rPr>
          <w:b/>
          <w:bCs/>
          <w:sz w:val="24"/>
          <w:szCs w:val="24"/>
        </w:rPr>
      </w:pPr>
    </w:p>
    <w:p w:rsidR="00A22959" w:rsidRPr="008E2539" w:rsidRDefault="00A22959" w:rsidP="00C5502F">
      <w:pPr>
        <w:pStyle w:val="Heading2"/>
        <w:spacing w:line="360" w:lineRule="auto"/>
        <w:rPr>
          <w:szCs w:val="24"/>
        </w:rPr>
      </w:pPr>
      <w:bookmarkStart w:id="354" w:name="_Toc489345852"/>
      <w:bookmarkStart w:id="355" w:name="_Toc489346057"/>
      <w:bookmarkStart w:id="356" w:name="_Toc489537777"/>
      <w:r w:rsidRPr="008E2539">
        <w:rPr>
          <w:szCs w:val="24"/>
        </w:rPr>
        <w:t>3.6.1 Fisheries trade</w:t>
      </w:r>
      <w:bookmarkEnd w:id="354"/>
      <w:bookmarkEnd w:id="355"/>
      <w:bookmarkEnd w:id="356"/>
    </w:p>
    <w:p w:rsidR="00A22959" w:rsidRPr="008E2539" w:rsidRDefault="00A22959" w:rsidP="00C5502F">
      <w:pPr>
        <w:autoSpaceDE w:val="0"/>
        <w:autoSpaceDN w:val="0"/>
        <w:adjustRightInd w:val="0"/>
        <w:spacing w:line="360" w:lineRule="auto"/>
        <w:jc w:val="both"/>
        <w:rPr>
          <w:rFonts w:eastAsiaTheme="minorHAnsi" w:cs="Arial"/>
          <w:sz w:val="24"/>
          <w:szCs w:val="24"/>
        </w:rPr>
      </w:pPr>
      <w:r w:rsidRPr="008E2539">
        <w:rPr>
          <w:rFonts w:eastAsiaTheme="minorHAnsi" w:cs="Arial"/>
          <w:sz w:val="24"/>
          <w:szCs w:val="24"/>
        </w:rPr>
        <w:t>In the first quarter of 2017, supply of fisheries products declined significantly due to a rapid decline in capture fisheries production that contrasts with the rapidly expanding aquaculture sector (FAO, 2017).</w:t>
      </w:r>
    </w:p>
    <w:p w:rsidR="00A22959" w:rsidRPr="008E2539" w:rsidRDefault="00A22959" w:rsidP="00A22959">
      <w:pPr>
        <w:pStyle w:val="NormalWeb"/>
        <w:spacing w:before="0" w:beforeAutospacing="0" w:after="0" w:afterAutospacing="0" w:line="360" w:lineRule="auto"/>
        <w:jc w:val="both"/>
        <w:rPr>
          <w:sz w:val="24"/>
          <w:szCs w:val="24"/>
        </w:rPr>
      </w:pPr>
      <w:r w:rsidRPr="008E2539">
        <w:rPr>
          <w:sz w:val="24"/>
          <w:szCs w:val="24"/>
        </w:rPr>
        <w:t xml:space="preserve">Figure </w:t>
      </w:r>
      <w:r w:rsidR="00687472">
        <w:rPr>
          <w:sz w:val="24"/>
          <w:szCs w:val="24"/>
        </w:rPr>
        <w:t>5</w:t>
      </w:r>
      <w:r w:rsidR="00687472">
        <w:rPr>
          <w:sz w:val="24"/>
          <w:szCs w:val="24"/>
        </w:rPr>
        <w:t>1</w:t>
      </w:r>
      <w:r w:rsidR="00687472" w:rsidRPr="008E2539">
        <w:rPr>
          <w:sz w:val="24"/>
          <w:szCs w:val="24"/>
        </w:rPr>
        <w:t xml:space="preserve"> </w:t>
      </w:r>
      <w:r w:rsidRPr="008E2539">
        <w:rPr>
          <w:sz w:val="24"/>
          <w:szCs w:val="24"/>
        </w:rPr>
        <w:t>illustrates that in the first quarter of 2017, exports of fisheries products decreased by 43%, from R 2</w:t>
      </w:r>
      <w:proofErr w:type="gramStart"/>
      <w:r w:rsidR="00723741">
        <w:rPr>
          <w:sz w:val="24"/>
          <w:szCs w:val="24"/>
        </w:rPr>
        <w:t>,</w:t>
      </w:r>
      <w:r w:rsidRPr="008E2539">
        <w:rPr>
          <w:sz w:val="24"/>
          <w:szCs w:val="24"/>
        </w:rPr>
        <w:t>02</w:t>
      </w:r>
      <w:proofErr w:type="gramEnd"/>
      <w:r w:rsidRPr="008E2539">
        <w:rPr>
          <w:sz w:val="24"/>
          <w:szCs w:val="24"/>
        </w:rPr>
        <w:t xml:space="preserve"> billion in the first quarter of 2016 to R 1</w:t>
      </w:r>
      <w:r w:rsidR="00723741">
        <w:rPr>
          <w:sz w:val="24"/>
          <w:szCs w:val="24"/>
        </w:rPr>
        <w:t>,</w:t>
      </w:r>
      <w:r w:rsidRPr="008E2539">
        <w:rPr>
          <w:sz w:val="24"/>
          <w:szCs w:val="24"/>
        </w:rPr>
        <w:t>16 billion in the first quarter of 2017. During the same period, imports of fisheries products decreased by 2%, from R1</w:t>
      </w:r>
      <w:proofErr w:type="gramStart"/>
      <w:r w:rsidR="00723741">
        <w:rPr>
          <w:sz w:val="24"/>
          <w:szCs w:val="24"/>
        </w:rPr>
        <w:t>,</w:t>
      </w:r>
      <w:r w:rsidRPr="008E2539">
        <w:rPr>
          <w:sz w:val="24"/>
          <w:szCs w:val="24"/>
        </w:rPr>
        <w:t>44</w:t>
      </w:r>
      <w:proofErr w:type="gramEnd"/>
      <w:r w:rsidRPr="008E2539">
        <w:rPr>
          <w:sz w:val="24"/>
          <w:szCs w:val="24"/>
        </w:rPr>
        <w:t xml:space="preserve"> billion in the first quarter of 2016 to R1</w:t>
      </w:r>
      <w:r w:rsidR="00723741">
        <w:rPr>
          <w:sz w:val="24"/>
          <w:szCs w:val="24"/>
        </w:rPr>
        <w:t>,</w:t>
      </w:r>
      <w:r w:rsidRPr="008E2539">
        <w:rPr>
          <w:sz w:val="24"/>
          <w:szCs w:val="24"/>
        </w:rPr>
        <w:t>42 billion in the first quarter of 2017</w:t>
      </w:r>
      <w:r w:rsidR="004610A3" w:rsidRPr="008E2539">
        <w:rPr>
          <w:sz w:val="24"/>
          <w:szCs w:val="24"/>
        </w:rPr>
        <w:t>.</w:t>
      </w:r>
    </w:p>
    <w:p w:rsidR="00A22959" w:rsidRPr="00F50D8E" w:rsidRDefault="00A22959" w:rsidP="003561BD">
      <w:pPr>
        <w:pStyle w:val="NormalWeb"/>
        <w:spacing w:before="0" w:beforeAutospacing="0" w:after="0" w:afterAutospacing="0" w:line="240" w:lineRule="auto"/>
        <w:jc w:val="both"/>
        <w:rPr>
          <w:sz w:val="24"/>
          <w:szCs w:val="24"/>
        </w:rPr>
      </w:pPr>
      <w:r w:rsidRPr="00341BC2">
        <w:rPr>
          <w:noProof/>
          <w:sz w:val="24"/>
          <w:szCs w:val="24"/>
        </w:rPr>
        <w:drawing>
          <wp:inline distT="0" distB="0" distL="0" distR="0" wp14:anchorId="40D1E70F" wp14:editId="4F99F766">
            <wp:extent cx="5191125" cy="2352675"/>
            <wp:effectExtent l="19050" t="0" r="9525" b="0"/>
            <wp:docPr id="20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22959" w:rsidRPr="00981EEF" w:rsidRDefault="00A22959" w:rsidP="003561BD">
      <w:pPr>
        <w:pStyle w:val="Heading3"/>
        <w:spacing w:before="0" w:line="240" w:lineRule="auto"/>
      </w:pPr>
      <w:bookmarkStart w:id="357" w:name="_Toc489345853"/>
      <w:bookmarkStart w:id="358" w:name="_Toc489346058"/>
      <w:bookmarkStart w:id="359" w:name="_Toc489537778"/>
      <w:r w:rsidRPr="00981EEF">
        <w:rPr>
          <w:b/>
        </w:rPr>
        <w:t xml:space="preserve">Figure </w:t>
      </w:r>
      <w:r w:rsidR="00687472">
        <w:rPr>
          <w:b/>
        </w:rPr>
        <w:t>5</w:t>
      </w:r>
      <w:r w:rsidR="00687472">
        <w:rPr>
          <w:b/>
        </w:rPr>
        <w:t>1</w:t>
      </w:r>
      <w:r w:rsidRPr="00981EEF">
        <w:rPr>
          <w:b/>
        </w:rPr>
        <w:t xml:space="preserve">: </w:t>
      </w:r>
      <w:r w:rsidRPr="00981EEF">
        <w:t>Trade balance of SA fisheries products</w:t>
      </w:r>
      <w:bookmarkEnd w:id="357"/>
      <w:bookmarkEnd w:id="358"/>
      <w:bookmarkEnd w:id="359"/>
      <w:r w:rsidRPr="00981EEF">
        <w:t xml:space="preserve"> </w:t>
      </w:r>
    </w:p>
    <w:p w:rsidR="00A22959" w:rsidRDefault="00A22959" w:rsidP="00A251EF">
      <w:bookmarkStart w:id="360" w:name="_Toc489345854"/>
      <w:bookmarkStart w:id="361" w:name="_Toc489346059"/>
      <w:r w:rsidRPr="00981EEF">
        <w:t>Source: GTA, 201</w:t>
      </w:r>
      <w:r>
        <w:t>7</w:t>
      </w:r>
      <w:bookmarkEnd w:id="360"/>
      <w:bookmarkEnd w:id="361"/>
      <w:r w:rsidRPr="00981EEF">
        <w:t xml:space="preserve"> </w:t>
      </w:r>
    </w:p>
    <w:p w:rsidR="00A22959" w:rsidRPr="008E2539" w:rsidRDefault="00A22959" w:rsidP="00A22959">
      <w:pPr>
        <w:pStyle w:val="NormalWeb"/>
        <w:spacing w:before="0" w:beforeAutospacing="0" w:after="0" w:afterAutospacing="0" w:line="360" w:lineRule="auto"/>
        <w:jc w:val="both"/>
        <w:rPr>
          <w:sz w:val="24"/>
          <w:szCs w:val="24"/>
        </w:rPr>
      </w:pPr>
      <w:r w:rsidRPr="008E2539">
        <w:rPr>
          <w:sz w:val="24"/>
          <w:szCs w:val="24"/>
        </w:rPr>
        <w:t>The top three imported fisheries products in the first quarter of 2017 include frozen shrimp and prawns, tunas/skipjack/bonito (prepared/preserved and not minced) and sardines/</w:t>
      </w:r>
      <w:proofErr w:type="spellStart"/>
      <w:r w:rsidRPr="008E2539">
        <w:rPr>
          <w:sz w:val="24"/>
          <w:szCs w:val="24"/>
        </w:rPr>
        <w:t>sardinella</w:t>
      </w:r>
      <w:proofErr w:type="spellEnd"/>
      <w:r w:rsidRPr="008E2539">
        <w:rPr>
          <w:sz w:val="24"/>
          <w:szCs w:val="24"/>
        </w:rPr>
        <w:t xml:space="preserve">/brisling or sprats (frozen) each accounting for 15%, 12% and 11% of the total import value, see Figure </w:t>
      </w:r>
      <w:r w:rsidR="00687472">
        <w:rPr>
          <w:sz w:val="24"/>
          <w:szCs w:val="24"/>
        </w:rPr>
        <w:t>52</w:t>
      </w:r>
      <w:r w:rsidRPr="008E2539">
        <w:rPr>
          <w:sz w:val="24"/>
          <w:szCs w:val="24"/>
        </w:rPr>
        <w:t xml:space="preserve">. Developing countries continue to play a significant role in the international supply of fish. </w:t>
      </w:r>
    </w:p>
    <w:p w:rsidR="003561BD" w:rsidRDefault="003561BD" w:rsidP="00A22959">
      <w:pPr>
        <w:pStyle w:val="NormalWeb"/>
        <w:spacing w:before="0" w:beforeAutospacing="0" w:after="0" w:afterAutospacing="0" w:line="360" w:lineRule="auto"/>
        <w:jc w:val="both"/>
        <w:rPr>
          <w:sz w:val="24"/>
          <w:szCs w:val="24"/>
        </w:rPr>
      </w:pPr>
    </w:p>
    <w:p w:rsidR="003561BD" w:rsidRPr="006C6704" w:rsidRDefault="003561BD" w:rsidP="00A22959">
      <w:pPr>
        <w:pStyle w:val="NormalWeb"/>
        <w:spacing w:before="0" w:beforeAutospacing="0" w:after="0" w:afterAutospacing="0" w:line="360" w:lineRule="auto"/>
        <w:jc w:val="both"/>
        <w:rPr>
          <w:sz w:val="24"/>
          <w:szCs w:val="24"/>
        </w:rPr>
      </w:pPr>
    </w:p>
    <w:p w:rsidR="00A22959" w:rsidRDefault="00A22959" w:rsidP="00A22959">
      <w:pPr>
        <w:pStyle w:val="NormalWeb"/>
        <w:spacing w:before="0" w:beforeAutospacing="0" w:after="0" w:afterAutospacing="0" w:line="360" w:lineRule="auto"/>
        <w:jc w:val="both"/>
        <w:rPr>
          <w:sz w:val="24"/>
          <w:szCs w:val="24"/>
        </w:rPr>
      </w:pPr>
    </w:p>
    <w:p w:rsidR="00A22959" w:rsidRDefault="00A22959" w:rsidP="003561BD">
      <w:pPr>
        <w:pStyle w:val="NormalWeb"/>
        <w:spacing w:before="0" w:beforeAutospacing="0" w:after="0" w:afterAutospacing="0" w:line="240" w:lineRule="auto"/>
        <w:jc w:val="both"/>
        <w:rPr>
          <w:sz w:val="24"/>
          <w:szCs w:val="24"/>
        </w:rPr>
      </w:pPr>
      <w:r w:rsidRPr="0003650E">
        <w:rPr>
          <w:noProof/>
          <w:sz w:val="24"/>
          <w:szCs w:val="24"/>
        </w:rPr>
        <w:drawing>
          <wp:inline distT="0" distB="0" distL="0" distR="0" wp14:anchorId="60B4F2CC" wp14:editId="18D367C9">
            <wp:extent cx="5057775" cy="2752725"/>
            <wp:effectExtent l="19050" t="0" r="9525" b="0"/>
            <wp:docPr id="20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22959" w:rsidRPr="00981EEF" w:rsidRDefault="00A22959" w:rsidP="003561BD">
      <w:pPr>
        <w:pStyle w:val="Heading3"/>
        <w:spacing w:before="0" w:line="240" w:lineRule="auto"/>
      </w:pPr>
      <w:bookmarkStart w:id="362" w:name="_Toc489345855"/>
      <w:bookmarkStart w:id="363" w:name="_Toc489346060"/>
      <w:bookmarkStart w:id="364" w:name="_Toc489537779"/>
      <w:r w:rsidRPr="00981EEF">
        <w:rPr>
          <w:b/>
        </w:rPr>
        <w:t xml:space="preserve">Figure </w:t>
      </w:r>
      <w:r w:rsidR="00687472">
        <w:rPr>
          <w:b/>
        </w:rPr>
        <w:t>5</w:t>
      </w:r>
      <w:r w:rsidR="00687472">
        <w:rPr>
          <w:b/>
        </w:rPr>
        <w:t>2</w:t>
      </w:r>
      <w:r w:rsidRPr="00981EEF">
        <w:rPr>
          <w:b/>
        </w:rPr>
        <w:t xml:space="preserve">: </w:t>
      </w:r>
      <w:r w:rsidRPr="00981EEF">
        <w:t>SA top five imported fisheries products</w:t>
      </w:r>
      <w:bookmarkEnd w:id="362"/>
      <w:bookmarkEnd w:id="363"/>
      <w:bookmarkEnd w:id="364"/>
      <w:r w:rsidRPr="00981EEF">
        <w:t xml:space="preserve"> </w:t>
      </w:r>
    </w:p>
    <w:p w:rsidR="00A22959" w:rsidRPr="00981EEF" w:rsidRDefault="00A22959" w:rsidP="00A251EF">
      <w:bookmarkStart w:id="365" w:name="_Toc489345856"/>
      <w:bookmarkStart w:id="366" w:name="_Toc489346061"/>
      <w:r w:rsidRPr="00981EEF">
        <w:t>Source: GTA, 201</w:t>
      </w:r>
      <w:r>
        <w:t>7</w:t>
      </w:r>
      <w:bookmarkEnd w:id="365"/>
      <w:bookmarkEnd w:id="366"/>
      <w:r w:rsidRPr="00981EEF">
        <w:t xml:space="preserve"> </w:t>
      </w:r>
    </w:p>
    <w:p w:rsidR="00A22959" w:rsidRPr="009D6E05" w:rsidRDefault="00A22959" w:rsidP="00A22959">
      <w:pPr>
        <w:pStyle w:val="NormalWeb"/>
        <w:spacing w:before="0" w:beforeAutospacing="0" w:after="0" w:afterAutospacing="0" w:line="360" w:lineRule="auto"/>
        <w:jc w:val="both"/>
        <w:rPr>
          <w:sz w:val="18"/>
          <w:szCs w:val="18"/>
        </w:rPr>
      </w:pPr>
    </w:p>
    <w:p w:rsidR="00A22959" w:rsidRPr="008E2539" w:rsidRDefault="00A22959" w:rsidP="00A22959">
      <w:pPr>
        <w:autoSpaceDE w:val="0"/>
        <w:autoSpaceDN w:val="0"/>
        <w:adjustRightInd w:val="0"/>
        <w:spacing w:line="360" w:lineRule="auto"/>
        <w:jc w:val="both"/>
        <w:rPr>
          <w:rFonts w:cs="Arial"/>
          <w:sz w:val="24"/>
          <w:szCs w:val="24"/>
        </w:rPr>
      </w:pPr>
      <w:r w:rsidRPr="008E2539">
        <w:rPr>
          <w:rFonts w:cs="Arial"/>
          <w:sz w:val="24"/>
          <w:szCs w:val="24"/>
        </w:rPr>
        <w:t xml:space="preserve">Figure </w:t>
      </w:r>
      <w:r w:rsidR="00687472">
        <w:rPr>
          <w:rFonts w:cs="Arial"/>
          <w:sz w:val="24"/>
          <w:szCs w:val="24"/>
        </w:rPr>
        <w:t>5</w:t>
      </w:r>
      <w:r w:rsidR="00687472">
        <w:rPr>
          <w:rFonts w:cs="Arial"/>
          <w:sz w:val="24"/>
          <w:szCs w:val="24"/>
        </w:rPr>
        <w:t>3</w:t>
      </w:r>
      <w:r w:rsidR="00687472" w:rsidRPr="008E2539">
        <w:rPr>
          <w:rFonts w:cs="Arial"/>
          <w:sz w:val="24"/>
          <w:szCs w:val="24"/>
        </w:rPr>
        <w:t xml:space="preserve"> </w:t>
      </w:r>
      <w:r w:rsidRPr="008E2539">
        <w:rPr>
          <w:rFonts w:cs="Arial"/>
          <w:sz w:val="24"/>
          <w:szCs w:val="24"/>
        </w:rPr>
        <w:t xml:space="preserve">presents the top three fisheries products exported by SA in the first quarter of 2017. Frozen Hake fillets were the main exported seafood product in the first quarter of 2017, followed by frozen hake and frozen fish, </w:t>
      </w:r>
      <w:proofErr w:type="spellStart"/>
      <w:r w:rsidRPr="008E2539">
        <w:rPr>
          <w:rFonts w:cs="Arial"/>
          <w:sz w:val="24"/>
          <w:szCs w:val="24"/>
        </w:rPr>
        <w:t>nesoi</w:t>
      </w:r>
      <w:proofErr w:type="spellEnd"/>
      <w:r w:rsidRPr="008E2539">
        <w:rPr>
          <w:rFonts w:cs="Arial"/>
          <w:sz w:val="24"/>
          <w:szCs w:val="24"/>
        </w:rPr>
        <w:t xml:space="preserve">. In the first quarter of 2017, exports of frozen hake fillets and frozen hake decreased by 2% and 18% respectively compared to the first quarter of 2016. Deep-water hake remains </w:t>
      </w:r>
      <w:proofErr w:type="gramStart"/>
      <w:r w:rsidRPr="008E2539">
        <w:rPr>
          <w:rFonts w:cs="Arial"/>
          <w:sz w:val="24"/>
          <w:szCs w:val="24"/>
        </w:rPr>
        <w:t>depleted</w:t>
      </w:r>
      <w:r w:rsidR="00723741">
        <w:rPr>
          <w:rFonts w:cs="Arial"/>
          <w:sz w:val="24"/>
          <w:szCs w:val="24"/>
        </w:rPr>
        <w:t>,</w:t>
      </w:r>
      <w:proofErr w:type="gramEnd"/>
      <w:r w:rsidRPr="008E2539">
        <w:rPr>
          <w:rFonts w:cs="Arial"/>
          <w:sz w:val="24"/>
          <w:szCs w:val="24"/>
        </w:rPr>
        <w:t xml:space="preserve"> however, its status is improving while shallow-water hake is considered optimal to abundant (DAFF, 2017)</w:t>
      </w:r>
      <w:r w:rsidR="00723741">
        <w:rPr>
          <w:rFonts w:cs="Arial"/>
          <w:sz w:val="24"/>
          <w:szCs w:val="24"/>
        </w:rPr>
        <w:t>.</w:t>
      </w:r>
      <w:r w:rsidRPr="008E2539">
        <w:rPr>
          <w:rFonts w:cs="Arial"/>
          <w:sz w:val="24"/>
          <w:szCs w:val="24"/>
        </w:rPr>
        <w:t xml:space="preserve"> </w:t>
      </w:r>
    </w:p>
    <w:p w:rsidR="00A22959" w:rsidRDefault="00A22959" w:rsidP="003561BD">
      <w:pPr>
        <w:pStyle w:val="NormalWeb"/>
        <w:spacing w:before="0" w:beforeAutospacing="0" w:after="0" w:afterAutospacing="0" w:line="240" w:lineRule="auto"/>
        <w:jc w:val="both"/>
        <w:rPr>
          <w:sz w:val="24"/>
          <w:szCs w:val="24"/>
        </w:rPr>
      </w:pPr>
      <w:r w:rsidRPr="0003650E">
        <w:rPr>
          <w:noProof/>
          <w:sz w:val="24"/>
          <w:szCs w:val="24"/>
        </w:rPr>
        <w:drawing>
          <wp:inline distT="0" distB="0" distL="0" distR="0" wp14:anchorId="01413E2C" wp14:editId="3EFAE1A5">
            <wp:extent cx="5334000" cy="2524125"/>
            <wp:effectExtent l="19050" t="0" r="19050" b="0"/>
            <wp:docPr id="20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22959" w:rsidRPr="00981EEF" w:rsidRDefault="00A22959" w:rsidP="003561BD">
      <w:pPr>
        <w:pStyle w:val="Heading3"/>
        <w:spacing w:before="0" w:line="240" w:lineRule="auto"/>
      </w:pPr>
      <w:bookmarkStart w:id="367" w:name="_Toc489345857"/>
      <w:bookmarkStart w:id="368" w:name="_Toc489346062"/>
      <w:bookmarkStart w:id="369" w:name="_Toc489537780"/>
      <w:r w:rsidRPr="00981EEF">
        <w:rPr>
          <w:b/>
        </w:rPr>
        <w:t xml:space="preserve">Figure </w:t>
      </w:r>
      <w:r w:rsidR="00687472">
        <w:rPr>
          <w:b/>
        </w:rPr>
        <w:t>5</w:t>
      </w:r>
      <w:r w:rsidR="00687472">
        <w:rPr>
          <w:b/>
        </w:rPr>
        <w:t>3</w:t>
      </w:r>
      <w:r w:rsidRPr="00981EEF">
        <w:rPr>
          <w:b/>
        </w:rPr>
        <w:t xml:space="preserve">: </w:t>
      </w:r>
      <w:r w:rsidRPr="00981EEF">
        <w:t>SA top five exports of fisheries products</w:t>
      </w:r>
      <w:bookmarkEnd w:id="367"/>
      <w:bookmarkEnd w:id="368"/>
      <w:bookmarkEnd w:id="369"/>
      <w:r w:rsidRPr="00981EEF">
        <w:t xml:space="preserve"> </w:t>
      </w:r>
    </w:p>
    <w:p w:rsidR="00A22959" w:rsidRPr="00981EEF" w:rsidRDefault="00A22959" w:rsidP="00A251EF">
      <w:bookmarkStart w:id="370" w:name="_Toc489345858"/>
      <w:bookmarkStart w:id="371" w:name="_Toc489346063"/>
      <w:r w:rsidRPr="00981EEF">
        <w:t>Source: GTA, 201</w:t>
      </w:r>
      <w:r>
        <w:t>7</w:t>
      </w:r>
      <w:bookmarkEnd w:id="370"/>
      <w:bookmarkEnd w:id="371"/>
    </w:p>
    <w:p w:rsidR="00A22959" w:rsidRDefault="00A22959" w:rsidP="00A22959">
      <w:pPr>
        <w:pStyle w:val="NormalWeb"/>
        <w:spacing w:before="0" w:beforeAutospacing="0" w:after="0" w:afterAutospacing="0" w:line="360" w:lineRule="auto"/>
        <w:jc w:val="both"/>
        <w:rPr>
          <w:sz w:val="24"/>
          <w:szCs w:val="24"/>
        </w:rPr>
      </w:pPr>
    </w:p>
    <w:p w:rsidR="008E2539" w:rsidRDefault="008E2539" w:rsidP="00A22959">
      <w:pPr>
        <w:pStyle w:val="NormalWeb"/>
        <w:spacing w:before="0" w:beforeAutospacing="0" w:after="0" w:afterAutospacing="0" w:line="360" w:lineRule="auto"/>
        <w:jc w:val="both"/>
        <w:rPr>
          <w:sz w:val="24"/>
          <w:szCs w:val="24"/>
        </w:rPr>
      </w:pPr>
    </w:p>
    <w:p w:rsidR="00A22959" w:rsidRPr="008E2539" w:rsidRDefault="00A22959" w:rsidP="008E2539">
      <w:pPr>
        <w:pStyle w:val="Heading2"/>
        <w:spacing w:before="0" w:line="360" w:lineRule="auto"/>
        <w:rPr>
          <w:szCs w:val="22"/>
        </w:rPr>
      </w:pPr>
      <w:bookmarkStart w:id="372" w:name="_Toc489345859"/>
      <w:bookmarkStart w:id="373" w:name="_Toc489346064"/>
      <w:bookmarkStart w:id="374" w:name="_Toc489537781"/>
      <w:r w:rsidRPr="008E2539">
        <w:rPr>
          <w:szCs w:val="22"/>
        </w:rPr>
        <w:t>3.6.2 Forestry trade</w:t>
      </w:r>
      <w:bookmarkEnd w:id="372"/>
      <w:bookmarkEnd w:id="373"/>
      <w:bookmarkEnd w:id="374"/>
    </w:p>
    <w:p w:rsidR="00A22959" w:rsidRPr="008E2539" w:rsidRDefault="00A22959" w:rsidP="008E2539">
      <w:pPr>
        <w:pStyle w:val="NormalWeb"/>
        <w:spacing w:before="0" w:beforeAutospacing="0" w:after="0" w:afterAutospacing="0" w:line="360" w:lineRule="auto"/>
        <w:jc w:val="both"/>
        <w:rPr>
          <w:sz w:val="24"/>
          <w:szCs w:val="24"/>
        </w:rPr>
      </w:pPr>
      <w:r w:rsidRPr="008E2539">
        <w:rPr>
          <w:sz w:val="22"/>
          <w:szCs w:val="22"/>
        </w:rPr>
        <w:t>Amid a struggling</w:t>
      </w:r>
      <w:r w:rsidRPr="008E2539">
        <w:rPr>
          <w:sz w:val="24"/>
          <w:szCs w:val="24"/>
        </w:rPr>
        <w:t xml:space="preserve"> economy, trade of forestry products remained in positive territory over the period first quarter of 2015 to the first quarter of 2017. With the sharp downturn observed in the first quarter of 2017, slow demand, rising utility and tax costs as well as constrained energy supplies, the trade balance of South African forestry products grew significantly in the first quarter of 2017 compared to the first  quarter of 2016. </w:t>
      </w:r>
    </w:p>
    <w:p w:rsidR="00A22959" w:rsidRPr="008E2539" w:rsidRDefault="00A22959" w:rsidP="00A22959">
      <w:pPr>
        <w:pStyle w:val="NormalWeb"/>
        <w:spacing w:before="0" w:beforeAutospacing="0" w:after="0" w:afterAutospacing="0" w:line="360" w:lineRule="auto"/>
        <w:jc w:val="both"/>
        <w:rPr>
          <w:sz w:val="24"/>
          <w:szCs w:val="24"/>
        </w:rPr>
      </w:pPr>
    </w:p>
    <w:p w:rsidR="00A22959" w:rsidRPr="008E2539" w:rsidRDefault="00A22959" w:rsidP="00A22959">
      <w:pPr>
        <w:pStyle w:val="NormalWeb"/>
        <w:spacing w:before="0" w:beforeAutospacing="0" w:after="0" w:afterAutospacing="0" w:line="360" w:lineRule="auto"/>
        <w:jc w:val="both"/>
        <w:rPr>
          <w:sz w:val="24"/>
          <w:szCs w:val="24"/>
        </w:rPr>
      </w:pPr>
      <w:r w:rsidRPr="008E2539">
        <w:rPr>
          <w:sz w:val="24"/>
          <w:szCs w:val="24"/>
        </w:rPr>
        <w:t xml:space="preserve">Figure </w:t>
      </w:r>
      <w:r w:rsidR="00687472">
        <w:rPr>
          <w:sz w:val="24"/>
          <w:szCs w:val="24"/>
        </w:rPr>
        <w:t>5</w:t>
      </w:r>
      <w:r w:rsidR="00687472">
        <w:rPr>
          <w:sz w:val="24"/>
          <w:szCs w:val="24"/>
        </w:rPr>
        <w:t>4</w:t>
      </w:r>
      <w:r w:rsidR="00687472" w:rsidRPr="008E2539">
        <w:rPr>
          <w:sz w:val="24"/>
          <w:szCs w:val="24"/>
        </w:rPr>
        <w:t xml:space="preserve"> </w:t>
      </w:r>
      <w:r w:rsidRPr="008E2539">
        <w:rPr>
          <w:sz w:val="24"/>
          <w:szCs w:val="24"/>
        </w:rPr>
        <w:t>shows the trade balance of South African forestry products from the first quarter of 2015 to the first quarter of 2017. In the first quarter of 2017, exports of forestry products decreased by 10%, while imports decreased by 19% compared with the first quarter of 2016.</w:t>
      </w:r>
    </w:p>
    <w:p w:rsidR="00A22959" w:rsidRPr="008A6A3D" w:rsidRDefault="00A22959" w:rsidP="008E2539">
      <w:pPr>
        <w:spacing w:after="0" w:line="240" w:lineRule="auto"/>
      </w:pPr>
      <w:r w:rsidRPr="001544A8">
        <w:rPr>
          <w:noProof/>
        </w:rPr>
        <w:drawing>
          <wp:inline distT="0" distB="0" distL="0" distR="0" wp14:anchorId="39AF519B" wp14:editId="15DA845F">
            <wp:extent cx="4572000" cy="2743200"/>
            <wp:effectExtent l="19050" t="0" r="19050" b="0"/>
            <wp:docPr id="21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22959" w:rsidRPr="009B0E09" w:rsidRDefault="00A22959" w:rsidP="008E2539">
      <w:pPr>
        <w:pStyle w:val="Heading3"/>
        <w:spacing w:before="0" w:line="240" w:lineRule="auto"/>
      </w:pPr>
      <w:bookmarkStart w:id="375" w:name="_Toc489345860"/>
      <w:bookmarkStart w:id="376" w:name="_Toc489346065"/>
      <w:bookmarkStart w:id="377" w:name="_Toc489537782"/>
      <w:r w:rsidRPr="009B0E09">
        <w:rPr>
          <w:b/>
        </w:rPr>
        <w:t xml:space="preserve">Figure </w:t>
      </w:r>
      <w:r w:rsidR="00687472">
        <w:rPr>
          <w:b/>
        </w:rPr>
        <w:t>5</w:t>
      </w:r>
      <w:r w:rsidR="00687472">
        <w:rPr>
          <w:b/>
        </w:rPr>
        <w:t>4</w:t>
      </w:r>
      <w:r w:rsidRPr="009B0E09">
        <w:rPr>
          <w:b/>
        </w:rPr>
        <w:t xml:space="preserve">: </w:t>
      </w:r>
      <w:r w:rsidRPr="009B0E09">
        <w:t>Trade balance of SA forestry products</w:t>
      </w:r>
      <w:bookmarkEnd w:id="375"/>
      <w:bookmarkEnd w:id="376"/>
      <w:bookmarkEnd w:id="377"/>
      <w:r w:rsidRPr="009B0E09">
        <w:t xml:space="preserve"> </w:t>
      </w:r>
    </w:p>
    <w:p w:rsidR="00A22959" w:rsidRPr="009B0E09" w:rsidRDefault="00A22959" w:rsidP="00A251EF">
      <w:bookmarkStart w:id="378" w:name="_Toc489345861"/>
      <w:bookmarkStart w:id="379" w:name="_Toc489346066"/>
      <w:r w:rsidRPr="009B0E09">
        <w:t>Source: GTA, 201</w:t>
      </w:r>
      <w:r>
        <w:t>7</w:t>
      </w:r>
      <w:bookmarkEnd w:id="378"/>
      <w:bookmarkEnd w:id="379"/>
      <w:r w:rsidRPr="009B0E09">
        <w:t xml:space="preserve"> </w:t>
      </w:r>
    </w:p>
    <w:p w:rsidR="00A22959" w:rsidRDefault="00A22959" w:rsidP="00A22959">
      <w:pPr>
        <w:pStyle w:val="NormalWeb"/>
        <w:spacing w:before="0" w:beforeAutospacing="0" w:after="0" w:afterAutospacing="0" w:line="360" w:lineRule="auto"/>
        <w:jc w:val="both"/>
        <w:rPr>
          <w:sz w:val="19"/>
          <w:szCs w:val="19"/>
        </w:rPr>
      </w:pPr>
    </w:p>
    <w:p w:rsidR="00A22959" w:rsidRPr="008E2539" w:rsidRDefault="00A22959" w:rsidP="00A22959">
      <w:pPr>
        <w:pStyle w:val="NormalWeb"/>
        <w:spacing w:before="0" w:beforeAutospacing="0" w:after="0" w:afterAutospacing="0" w:line="360" w:lineRule="auto"/>
        <w:jc w:val="both"/>
        <w:rPr>
          <w:sz w:val="24"/>
          <w:szCs w:val="24"/>
        </w:rPr>
      </w:pPr>
      <w:r w:rsidRPr="008E2539">
        <w:rPr>
          <w:sz w:val="24"/>
          <w:szCs w:val="24"/>
        </w:rPr>
        <w:t>The total export value of forestry products decreased by 10%, from R7</w:t>
      </w:r>
      <w:proofErr w:type="gramStart"/>
      <w:r w:rsidR="00723741">
        <w:rPr>
          <w:sz w:val="24"/>
          <w:szCs w:val="24"/>
        </w:rPr>
        <w:t>,</w:t>
      </w:r>
      <w:r w:rsidRPr="008E2539">
        <w:rPr>
          <w:sz w:val="24"/>
          <w:szCs w:val="24"/>
        </w:rPr>
        <w:t>78</w:t>
      </w:r>
      <w:proofErr w:type="gramEnd"/>
      <w:r w:rsidRPr="008E2539">
        <w:rPr>
          <w:sz w:val="24"/>
          <w:szCs w:val="24"/>
        </w:rPr>
        <w:t xml:space="preserve"> billion in the first quarter of 2016 to R7</w:t>
      </w:r>
      <w:r w:rsidR="00723741">
        <w:rPr>
          <w:sz w:val="24"/>
          <w:szCs w:val="24"/>
        </w:rPr>
        <w:t>,</w:t>
      </w:r>
      <w:r w:rsidRPr="008E2539">
        <w:rPr>
          <w:sz w:val="24"/>
          <w:szCs w:val="24"/>
        </w:rPr>
        <w:t xml:space="preserve">04 billion in the first quarter of 2017. The top three forestry products exported in the first quarter of 2017 include chemical </w:t>
      </w:r>
      <w:proofErr w:type="spellStart"/>
      <w:r w:rsidRPr="008E2539">
        <w:rPr>
          <w:sz w:val="24"/>
          <w:szCs w:val="24"/>
        </w:rPr>
        <w:t>woodpulp</w:t>
      </w:r>
      <w:proofErr w:type="spellEnd"/>
      <w:r w:rsidRPr="008E2539">
        <w:rPr>
          <w:sz w:val="24"/>
          <w:szCs w:val="24"/>
        </w:rPr>
        <w:t xml:space="preserve"> (dissolving grades), wood in chips or particles (non-coniferous) and </w:t>
      </w:r>
      <w:proofErr w:type="spellStart"/>
      <w:r w:rsidRPr="008E2539">
        <w:rPr>
          <w:sz w:val="24"/>
          <w:szCs w:val="24"/>
        </w:rPr>
        <w:t>kraftliner</w:t>
      </w:r>
      <w:proofErr w:type="spellEnd"/>
      <w:r w:rsidRPr="008E2539">
        <w:rPr>
          <w:sz w:val="24"/>
          <w:szCs w:val="24"/>
        </w:rPr>
        <w:t xml:space="preserve"> (uncoated, bleached, in rolls or sheets), see </w:t>
      </w:r>
      <w:r w:rsidR="00687472">
        <w:rPr>
          <w:sz w:val="24"/>
          <w:szCs w:val="24"/>
        </w:rPr>
        <w:t>F</w:t>
      </w:r>
      <w:r w:rsidRPr="008E2539">
        <w:rPr>
          <w:sz w:val="24"/>
          <w:szCs w:val="24"/>
        </w:rPr>
        <w:t xml:space="preserve">igure </w:t>
      </w:r>
      <w:r w:rsidR="00687472" w:rsidRPr="008E2539">
        <w:rPr>
          <w:sz w:val="24"/>
          <w:szCs w:val="24"/>
        </w:rPr>
        <w:t>5</w:t>
      </w:r>
      <w:r w:rsidR="00687472">
        <w:rPr>
          <w:sz w:val="24"/>
          <w:szCs w:val="24"/>
        </w:rPr>
        <w:t>5</w:t>
      </w:r>
      <w:r w:rsidRPr="008E2539">
        <w:rPr>
          <w:sz w:val="24"/>
          <w:szCs w:val="24"/>
        </w:rPr>
        <w:t>.</w:t>
      </w:r>
    </w:p>
    <w:p w:rsidR="00A22959" w:rsidRDefault="00A22959" w:rsidP="008E2539">
      <w:pPr>
        <w:pStyle w:val="NormalWeb"/>
        <w:spacing w:before="0" w:beforeAutospacing="0" w:after="0" w:afterAutospacing="0" w:line="240" w:lineRule="auto"/>
        <w:jc w:val="both"/>
        <w:rPr>
          <w:sz w:val="24"/>
          <w:szCs w:val="24"/>
        </w:rPr>
      </w:pPr>
      <w:r w:rsidRPr="000725D9">
        <w:rPr>
          <w:noProof/>
          <w:sz w:val="24"/>
          <w:szCs w:val="24"/>
        </w:rPr>
        <w:drawing>
          <wp:inline distT="0" distB="0" distL="0" distR="0" wp14:anchorId="7B14FAEA" wp14:editId="6EEACB01">
            <wp:extent cx="5084466" cy="2994409"/>
            <wp:effectExtent l="0" t="0" r="20955" b="15875"/>
            <wp:docPr id="2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22959" w:rsidRPr="009B0E09" w:rsidRDefault="00A22959" w:rsidP="008E2539">
      <w:pPr>
        <w:pStyle w:val="Heading3"/>
        <w:spacing w:before="0" w:line="240" w:lineRule="auto"/>
      </w:pPr>
      <w:bookmarkStart w:id="380" w:name="_Toc489345862"/>
      <w:bookmarkStart w:id="381" w:name="_Toc489346067"/>
      <w:bookmarkStart w:id="382" w:name="_Toc489537783"/>
      <w:r w:rsidRPr="009B0E09">
        <w:rPr>
          <w:b/>
        </w:rPr>
        <w:t xml:space="preserve">Figure </w:t>
      </w:r>
      <w:r w:rsidR="00687472" w:rsidRPr="009B0E09">
        <w:rPr>
          <w:b/>
        </w:rPr>
        <w:t>5</w:t>
      </w:r>
      <w:r w:rsidR="00687472">
        <w:rPr>
          <w:b/>
        </w:rPr>
        <w:t>5</w:t>
      </w:r>
      <w:r w:rsidRPr="009B0E09">
        <w:rPr>
          <w:b/>
        </w:rPr>
        <w:t xml:space="preserve">: </w:t>
      </w:r>
      <w:r w:rsidRPr="009B0E09">
        <w:t>SA top five exports of forestry products</w:t>
      </w:r>
      <w:bookmarkEnd w:id="380"/>
      <w:bookmarkEnd w:id="381"/>
      <w:bookmarkEnd w:id="382"/>
      <w:r w:rsidRPr="009B0E09">
        <w:t xml:space="preserve"> </w:t>
      </w:r>
    </w:p>
    <w:p w:rsidR="00A22959" w:rsidRPr="009B0E09" w:rsidRDefault="00A22959" w:rsidP="00A251EF">
      <w:bookmarkStart w:id="383" w:name="_Toc489345863"/>
      <w:bookmarkStart w:id="384" w:name="_Toc489346068"/>
      <w:r w:rsidRPr="009B0E09">
        <w:t>Source: GTA, 201</w:t>
      </w:r>
      <w:r>
        <w:t>7</w:t>
      </w:r>
      <w:bookmarkEnd w:id="383"/>
      <w:bookmarkEnd w:id="384"/>
    </w:p>
    <w:p w:rsidR="00A22959" w:rsidRDefault="00A22959" w:rsidP="00A22959">
      <w:pPr>
        <w:pStyle w:val="NormalWeb"/>
        <w:spacing w:before="0" w:beforeAutospacing="0" w:after="0" w:afterAutospacing="0" w:line="360" w:lineRule="auto"/>
        <w:jc w:val="both"/>
        <w:rPr>
          <w:sz w:val="24"/>
          <w:szCs w:val="24"/>
        </w:rPr>
      </w:pPr>
    </w:p>
    <w:p w:rsidR="00A22959" w:rsidRPr="008E2539" w:rsidRDefault="00A22959" w:rsidP="00A22959">
      <w:pPr>
        <w:pStyle w:val="NormalWeb"/>
        <w:spacing w:before="0" w:beforeAutospacing="0" w:after="0" w:afterAutospacing="0" w:line="360" w:lineRule="auto"/>
        <w:jc w:val="both"/>
        <w:rPr>
          <w:sz w:val="24"/>
          <w:szCs w:val="24"/>
        </w:rPr>
      </w:pPr>
      <w:r w:rsidRPr="008E2539">
        <w:rPr>
          <w:sz w:val="24"/>
          <w:szCs w:val="24"/>
        </w:rPr>
        <w:t>The total import value of forestry products in the first quarter of 2017 decreased by 19%, from R5</w:t>
      </w:r>
      <w:proofErr w:type="gramStart"/>
      <w:r w:rsidR="00723741">
        <w:rPr>
          <w:sz w:val="24"/>
          <w:szCs w:val="24"/>
        </w:rPr>
        <w:t>,</w:t>
      </w:r>
      <w:r w:rsidRPr="008E2539">
        <w:rPr>
          <w:sz w:val="24"/>
          <w:szCs w:val="24"/>
        </w:rPr>
        <w:t>99</w:t>
      </w:r>
      <w:proofErr w:type="gramEnd"/>
      <w:r w:rsidRPr="008E2539">
        <w:rPr>
          <w:sz w:val="24"/>
          <w:szCs w:val="24"/>
        </w:rPr>
        <w:t xml:space="preserve"> billion in the first quarter of 2016 to R4</w:t>
      </w:r>
      <w:r w:rsidR="00723741">
        <w:rPr>
          <w:sz w:val="24"/>
          <w:szCs w:val="24"/>
        </w:rPr>
        <w:t>,</w:t>
      </w:r>
      <w:r w:rsidRPr="008E2539">
        <w:rPr>
          <w:sz w:val="24"/>
          <w:szCs w:val="24"/>
        </w:rPr>
        <w:t xml:space="preserve">88 billion in the first quarter of 2017. SA’s top three imported forestry products in the first quarter of 2017 include printed books, brochures </w:t>
      </w:r>
      <w:proofErr w:type="spellStart"/>
      <w:r w:rsidRPr="008E2539">
        <w:rPr>
          <w:sz w:val="24"/>
          <w:szCs w:val="24"/>
        </w:rPr>
        <w:t>etc</w:t>
      </w:r>
      <w:proofErr w:type="spellEnd"/>
      <w:r w:rsidRPr="008E2539">
        <w:rPr>
          <w:sz w:val="24"/>
          <w:szCs w:val="24"/>
        </w:rPr>
        <w:t xml:space="preserve">, paper or paperboard and casks, barrels, vats </w:t>
      </w:r>
      <w:proofErr w:type="spellStart"/>
      <w:r w:rsidRPr="008E2539">
        <w:rPr>
          <w:sz w:val="24"/>
          <w:szCs w:val="24"/>
        </w:rPr>
        <w:t>etc</w:t>
      </w:r>
      <w:proofErr w:type="spellEnd"/>
      <w:r w:rsidRPr="008E2539">
        <w:rPr>
          <w:sz w:val="24"/>
          <w:szCs w:val="24"/>
        </w:rPr>
        <w:t xml:space="preserve"> and parts</w:t>
      </w:r>
      <w:r w:rsidR="00723741">
        <w:rPr>
          <w:sz w:val="24"/>
          <w:szCs w:val="24"/>
        </w:rPr>
        <w:t xml:space="preserve"> </w:t>
      </w:r>
      <w:r w:rsidRPr="008E2539">
        <w:rPr>
          <w:sz w:val="24"/>
          <w:szCs w:val="24"/>
        </w:rPr>
        <w:t xml:space="preserve">of wood, see Figure </w:t>
      </w:r>
      <w:r w:rsidR="00687472" w:rsidRPr="008E2539">
        <w:rPr>
          <w:sz w:val="24"/>
          <w:szCs w:val="24"/>
        </w:rPr>
        <w:t>5</w:t>
      </w:r>
      <w:r w:rsidR="00687472">
        <w:rPr>
          <w:sz w:val="24"/>
          <w:szCs w:val="24"/>
        </w:rPr>
        <w:t>6</w:t>
      </w:r>
      <w:r w:rsidRPr="008E2539">
        <w:rPr>
          <w:sz w:val="24"/>
          <w:szCs w:val="24"/>
        </w:rPr>
        <w:t>.</w:t>
      </w:r>
    </w:p>
    <w:p w:rsidR="00A22959" w:rsidRDefault="00A22959" w:rsidP="00A22959">
      <w:pPr>
        <w:pStyle w:val="NormalWeb"/>
        <w:spacing w:before="0" w:beforeAutospacing="0" w:after="0" w:afterAutospacing="0" w:line="360" w:lineRule="auto"/>
        <w:jc w:val="both"/>
        <w:rPr>
          <w:sz w:val="24"/>
          <w:szCs w:val="24"/>
        </w:rPr>
      </w:pPr>
    </w:p>
    <w:p w:rsidR="00A22959" w:rsidRDefault="00A22959" w:rsidP="008E2539">
      <w:pPr>
        <w:pStyle w:val="NormalWeb"/>
        <w:spacing w:before="0" w:beforeAutospacing="0" w:after="0" w:afterAutospacing="0" w:line="240" w:lineRule="auto"/>
        <w:jc w:val="both"/>
        <w:rPr>
          <w:sz w:val="24"/>
          <w:szCs w:val="24"/>
        </w:rPr>
      </w:pPr>
      <w:r w:rsidRPr="000725D9">
        <w:rPr>
          <w:noProof/>
          <w:sz w:val="24"/>
          <w:szCs w:val="24"/>
        </w:rPr>
        <w:drawing>
          <wp:inline distT="0" distB="0" distL="0" distR="0" wp14:anchorId="407AEA10" wp14:editId="467235AA">
            <wp:extent cx="4572000" cy="2743200"/>
            <wp:effectExtent l="19050" t="0" r="19050" b="0"/>
            <wp:docPr id="2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22959" w:rsidRPr="009B0E09" w:rsidRDefault="00A22959" w:rsidP="008E2539">
      <w:pPr>
        <w:pStyle w:val="Heading3"/>
        <w:spacing w:before="0" w:line="240" w:lineRule="auto"/>
      </w:pPr>
      <w:bookmarkStart w:id="385" w:name="_Toc489345864"/>
      <w:bookmarkStart w:id="386" w:name="_Toc489346069"/>
      <w:bookmarkStart w:id="387" w:name="_Toc489537784"/>
      <w:r w:rsidRPr="009B0E09">
        <w:rPr>
          <w:b/>
        </w:rPr>
        <w:t xml:space="preserve">Figure </w:t>
      </w:r>
      <w:r w:rsidR="00687472" w:rsidRPr="009B0E09">
        <w:rPr>
          <w:b/>
        </w:rPr>
        <w:t>5</w:t>
      </w:r>
      <w:r w:rsidR="00687472">
        <w:rPr>
          <w:b/>
        </w:rPr>
        <w:t>6</w:t>
      </w:r>
      <w:r w:rsidRPr="009B0E09">
        <w:rPr>
          <w:b/>
        </w:rPr>
        <w:t xml:space="preserve">: </w:t>
      </w:r>
      <w:r w:rsidRPr="009B0E09">
        <w:t>SA top five imports of forestry products</w:t>
      </w:r>
      <w:bookmarkEnd w:id="385"/>
      <w:bookmarkEnd w:id="386"/>
      <w:bookmarkEnd w:id="387"/>
      <w:r w:rsidRPr="009B0E09">
        <w:t xml:space="preserve"> </w:t>
      </w:r>
    </w:p>
    <w:p w:rsidR="00A22959" w:rsidRPr="009B0E09" w:rsidRDefault="00A22959" w:rsidP="00A251EF">
      <w:bookmarkStart w:id="388" w:name="_Toc489345865"/>
      <w:bookmarkStart w:id="389" w:name="_Toc489346070"/>
      <w:r w:rsidRPr="009B0E09">
        <w:t>Source: GTA, 201</w:t>
      </w:r>
      <w:r>
        <w:t>7</w:t>
      </w:r>
      <w:bookmarkEnd w:id="388"/>
      <w:bookmarkEnd w:id="389"/>
    </w:p>
    <w:p w:rsidR="00A22959" w:rsidRPr="00E370DA" w:rsidRDefault="00A22959" w:rsidP="00A22959">
      <w:pPr>
        <w:pStyle w:val="NormalWeb"/>
        <w:spacing w:before="0" w:beforeAutospacing="0" w:after="0" w:afterAutospacing="0" w:line="360" w:lineRule="auto"/>
        <w:jc w:val="both"/>
        <w:rPr>
          <w:sz w:val="24"/>
          <w:szCs w:val="24"/>
        </w:rPr>
      </w:pPr>
    </w:p>
    <w:p w:rsidR="00A22959" w:rsidRDefault="00A22959" w:rsidP="00A22959">
      <w:pPr>
        <w:pStyle w:val="NormalWeb"/>
        <w:spacing w:before="0" w:beforeAutospacing="0" w:after="0" w:afterAutospacing="0" w:line="360" w:lineRule="auto"/>
        <w:jc w:val="both"/>
        <w:rPr>
          <w:sz w:val="24"/>
          <w:szCs w:val="24"/>
        </w:rPr>
      </w:pPr>
    </w:p>
    <w:p w:rsidR="009A57B8" w:rsidRDefault="009A57B8" w:rsidP="00A6420E">
      <w:pPr>
        <w:spacing w:after="0" w:line="360" w:lineRule="auto"/>
        <w:jc w:val="both"/>
        <w:rPr>
          <w:rFonts w:cs="Arial"/>
        </w:rPr>
      </w:pPr>
      <w:r>
        <w:rPr>
          <w:rFonts w:cs="Arial"/>
          <w:noProof/>
        </w:rPr>
        <w:drawing>
          <wp:inline distT="0" distB="0" distL="0" distR="0" wp14:anchorId="26818A09" wp14:editId="5299357D">
            <wp:extent cx="1876425" cy="30480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76425" cy="304800"/>
                    </a:xfrm>
                    <a:prstGeom prst="rect">
                      <a:avLst/>
                    </a:prstGeom>
                    <a:noFill/>
                  </pic:spPr>
                </pic:pic>
              </a:graphicData>
            </a:graphic>
          </wp:inline>
        </w:drawing>
      </w:r>
    </w:p>
    <w:p w:rsidR="00014A0B" w:rsidRDefault="00014A0B" w:rsidP="00014A0B">
      <w:pPr>
        <w:pStyle w:val="Default"/>
        <w:rPr>
          <w:b/>
          <w:bCs/>
        </w:rPr>
      </w:pPr>
    </w:p>
    <w:p w:rsidR="00A65CE8" w:rsidRPr="00A65CE8" w:rsidRDefault="00A65CE8" w:rsidP="00A65CE8">
      <w:pPr>
        <w:pStyle w:val="Default"/>
        <w:spacing w:line="360" w:lineRule="auto"/>
        <w:jc w:val="both"/>
        <w:rPr>
          <w:bCs/>
        </w:rPr>
      </w:pPr>
      <w:r w:rsidRPr="00A65CE8">
        <w:rPr>
          <w:bCs/>
        </w:rPr>
        <w:t>According to the World Bank’s June 2017 Global Economic Prospects, growth in advanced economies is expected to accelerate to 1</w:t>
      </w:r>
      <w:proofErr w:type="gramStart"/>
      <w:r w:rsidR="00723741">
        <w:rPr>
          <w:bCs/>
        </w:rPr>
        <w:t>,</w:t>
      </w:r>
      <w:r w:rsidRPr="00A65CE8">
        <w:rPr>
          <w:bCs/>
        </w:rPr>
        <w:t>9</w:t>
      </w:r>
      <w:proofErr w:type="gramEnd"/>
      <w:r w:rsidRPr="00A65CE8">
        <w:rPr>
          <w:bCs/>
        </w:rPr>
        <w:t xml:space="preserve"> percent in 2017, which will also benefit the trading partners of these countries. Global financing conditions remain favo</w:t>
      </w:r>
      <w:r w:rsidR="00723741">
        <w:rPr>
          <w:bCs/>
        </w:rPr>
        <w:t>u</w:t>
      </w:r>
      <w:r w:rsidRPr="00A65CE8">
        <w:rPr>
          <w:bCs/>
        </w:rPr>
        <w:t>rable and commodity prices have stabili</w:t>
      </w:r>
      <w:r w:rsidR="00723741">
        <w:rPr>
          <w:bCs/>
        </w:rPr>
        <w:t>s</w:t>
      </w:r>
      <w:r w:rsidRPr="00A65CE8">
        <w:rPr>
          <w:bCs/>
        </w:rPr>
        <w:t>ed. Against this improving international backdrop, growth in emerging market and developing economies as a whole will pick up to 4</w:t>
      </w:r>
      <w:r w:rsidR="00723741">
        <w:rPr>
          <w:bCs/>
        </w:rPr>
        <w:t>,</w:t>
      </w:r>
      <w:r w:rsidRPr="00A65CE8">
        <w:rPr>
          <w:bCs/>
        </w:rPr>
        <w:t>1 percent this year from 3</w:t>
      </w:r>
      <w:r w:rsidR="00723741">
        <w:rPr>
          <w:bCs/>
        </w:rPr>
        <w:t>,</w:t>
      </w:r>
      <w:r w:rsidRPr="00A65CE8">
        <w:rPr>
          <w:bCs/>
        </w:rPr>
        <w:t>5 percent in 2016.</w:t>
      </w:r>
      <w:r w:rsidRPr="00A65CE8">
        <w:t xml:space="preserve"> </w:t>
      </w:r>
      <w:r w:rsidRPr="00A65CE8">
        <w:rPr>
          <w:bCs/>
        </w:rPr>
        <w:t>On the downside, economic dynamics in the United Kingdom started to feel the pinch of high inflation and subdued wage growth. Quarterly Real GDP growth Rates, 2017 (Q1) in the advanced economies of the following countries: Canada, France, Germany, Italy, United Kingdom and United States decreased by 0</w:t>
      </w:r>
      <w:r w:rsidR="00723741">
        <w:rPr>
          <w:bCs/>
        </w:rPr>
        <w:t>,</w:t>
      </w:r>
      <w:r w:rsidRPr="00A65CE8">
        <w:rPr>
          <w:bCs/>
        </w:rPr>
        <w:t>9%, 1</w:t>
      </w:r>
      <w:r w:rsidR="00723741">
        <w:rPr>
          <w:bCs/>
        </w:rPr>
        <w:t>,</w:t>
      </w:r>
      <w:r w:rsidRPr="00A65CE8">
        <w:rPr>
          <w:bCs/>
        </w:rPr>
        <w:t>3%, 0</w:t>
      </w:r>
      <w:r w:rsidR="00723741">
        <w:rPr>
          <w:bCs/>
        </w:rPr>
        <w:t>,</w:t>
      </w:r>
      <w:r w:rsidRPr="00A65CE8">
        <w:rPr>
          <w:bCs/>
        </w:rPr>
        <w:t>6%, 0</w:t>
      </w:r>
      <w:r w:rsidR="00723741">
        <w:rPr>
          <w:bCs/>
        </w:rPr>
        <w:t>,</w:t>
      </w:r>
      <w:r w:rsidRPr="00A65CE8">
        <w:rPr>
          <w:bCs/>
        </w:rPr>
        <w:t>4%, 0</w:t>
      </w:r>
      <w:r w:rsidR="00723741">
        <w:rPr>
          <w:bCs/>
        </w:rPr>
        <w:t>,</w:t>
      </w:r>
      <w:r w:rsidRPr="00A65CE8">
        <w:rPr>
          <w:bCs/>
        </w:rPr>
        <w:t>2% and 0</w:t>
      </w:r>
      <w:r w:rsidR="00723741">
        <w:rPr>
          <w:bCs/>
        </w:rPr>
        <w:t>,</w:t>
      </w:r>
      <w:r w:rsidRPr="00A65CE8">
        <w:rPr>
          <w:bCs/>
        </w:rPr>
        <w:t>3% respectively, meanwhile Japan increased by 0</w:t>
      </w:r>
      <w:r w:rsidR="00723741">
        <w:rPr>
          <w:bCs/>
        </w:rPr>
        <w:t>,</w:t>
      </w:r>
      <w:r w:rsidRPr="00A65CE8">
        <w:rPr>
          <w:bCs/>
        </w:rPr>
        <w:t xml:space="preserve">3% as compared to 2016 (Q1). </w:t>
      </w:r>
    </w:p>
    <w:p w:rsidR="00A65CE8" w:rsidRPr="00A65CE8" w:rsidRDefault="00A65CE8" w:rsidP="00A65CE8">
      <w:pPr>
        <w:pStyle w:val="Default"/>
        <w:spacing w:line="360" w:lineRule="auto"/>
        <w:jc w:val="both"/>
        <w:rPr>
          <w:bCs/>
        </w:rPr>
      </w:pPr>
    </w:p>
    <w:p w:rsidR="00014A0B" w:rsidRDefault="00A65CE8" w:rsidP="00A65CE8">
      <w:pPr>
        <w:pStyle w:val="Default"/>
        <w:spacing w:line="360" w:lineRule="auto"/>
        <w:jc w:val="both"/>
        <w:rPr>
          <w:bCs/>
        </w:rPr>
      </w:pPr>
      <w:r w:rsidRPr="00A65CE8">
        <w:rPr>
          <w:bCs/>
        </w:rPr>
        <w:t>Growth among the world’s seven largest emerging market economies is forecast to increase and exceed its long-term average by 2018. Recovering activity in these economies should have significant positive effects for growth in other emerging and developing economies and globally.</w:t>
      </w:r>
    </w:p>
    <w:p w:rsidR="00A65CE8" w:rsidRDefault="00A65CE8" w:rsidP="00A65CE8">
      <w:pPr>
        <w:pStyle w:val="Default"/>
        <w:spacing w:line="360" w:lineRule="auto"/>
        <w:jc w:val="both"/>
        <w:rPr>
          <w:bCs/>
        </w:rPr>
      </w:pPr>
    </w:p>
    <w:p w:rsidR="00A65CE8" w:rsidRPr="00A65CE8" w:rsidRDefault="00A65CE8" w:rsidP="00A65CE8">
      <w:pPr>
        <w:pStyle w:val="Default"/>
        <w:spacing w:line="360" w:lineRule="auto"/>
        <w:jc w:val="both"/>
        <w:rPr>
          <w:bCs/>
        </w:rPr>
      </w:pPr>
      <w:r w:rsidRPr="00A65CE8">
        <w:rPr>
          <w:bCs/>
        </w:rPr>
        <w:t xml:space="preserve">South </w:t>
      </w:r>
      <w:proofErr w:type="spellStart"/>
      <w:r w:rsidRPr="00A65CE8">
        <w:rPr>
          <w:bCs/>
        </w:rPr>
        <w:t>Africas</w:t>
      </w:r>
      <w:proofErr w:type="spellEnd"/>
      <w:r w:rsidRPr="00A65CE8">
        <w:rPr>
          <w:bCs/>
        </w:rPr>
        <w:t xml:space="preserve"> GDP </w:t>
      </w:r>
      <w:r>
        <w:rPr>
          <w:bCs/>
        </w:rPr>
        <w:t>contracted by</w:t>
      </w:r>
      <w:r w:rsidRPr="00A65CE8">
        <w:rPr>
          <w:bCs/>
        </w:rPr>
        <w:t xml:space="preserve"> 0,7% in GDP during the first quarter of 2017, </w:t>
      </w:r>
      <w:r>
        <w:rPr>
          <w:bCs/>
        </w:rPr>
        <w:t>following a disappointing growth in the</w:t>
      </w:r>
      <w:r w:rsidRPr="00A65CE8">
        <w:rPr>
          <w:bCs/>
        </w:rPr>
        <w:t xml:space="preserve">  manufacturing industry which </w:t>
      </w:r>
      <w:r>
        <w:rPr>
          <w:bCs/>
        </w:rPr>
        <w:t>decreased</w:t>
      </w:r>
      <w:r w:rsidRPr="00A65CE8">
        <w:rPr>
          <w:bCs/>
        </w:rPr>
        <w:t xml:space="preserve"> by 3,7% and contributed -0,5 of a percentage point to GDP growth.</w:t>
      </w:r>
      <w:r w:rsidR="00DE68CA" w:rsidRPr="00DE68CA">
        <w:t xml:space="preserve"> </w:t>
      </w:r>
      <w:r w:rsidR="00DE68CA" w:rsidRPr="00DE68CA">
        <w:rPr>
          <w:bCs/>
        </w:rPr>
        <w:t>The agriculture, forestry and fisheries industry’s increased with 22,2% in the first quarter of 2017,this  was mainly as a result of increases in the production of field crops and horticultural products.</w:t>
      </w:r>
    </w:p>
    <w:p w:rsidR="00014A0B" w:rsidRDefault="00014A0B" w:rsidP="00014A0B">
      <w:pPr>
        <w:pStyle w:val="Default"/>
        <w:rPr>
          <w:b/>
          <w:bCs/>
        </w:rPr>
      </w:pPr>
    </w:p>
    <w:p w:rsidR="00014A0B" w:rsidRDefault="00014A0B" w:rsidP="00014A0B">
      <w:pPr>
        <w:pStyle w:val="Default"/>
        <w:rPr>
          <w:b/>
          <w:bCs/>
        </w:rPr>
      </w:pPr>
    </w:p>
    <w:p w:rsidR="00014A0B" w:rsidRDefault="00014A0B" w:rsidP="00014A0B">
      <w:pPr>
        <w:pStyle w:val="Default"/>
        <w:rPr>
          <w:b/>
          <w:bCs/>
        </w:rPr>
      </w:pPr>
    </w:p>
    <w:p w:rsidR="00014A0B" w:rsidRDefault="00014A0B" w:rsidP="00014A0B">
      <w:pPr>
        <w:pStyle w:val="Default"/>
        <w:rPr>
          <w:b/>
          <w:bCs/>
        </w:rPr>
      </w:pPr>
    </w:p>
    <w:p w:rsidR="00652668" w:rsidRDefault="00652668" w:rsidP="00014A0B">
      <w:pPr>
        <w:pStyle w:val="Default"/>
        <w:rPr>
          <w:b/>
          <w:bCs/>
        </w:rPr>
      </w:pPr>
    </w:p>
    <w:p w:rsidR="00652668" w:rsidRDefault="00652668" w:rsidP="00014A0B">
      <w:pPr>
        <w:pStyle w:val="Default"/>
        <w:rPr>
          <w:b/>
          <w:bCs/>
        </w:rPr>
      </w:pPr>
    </w:p>
    <w:p w:rsidR="004610A3" w:rsidRDefault="004610A3" w:rsidP="00014A0B">
      <w:pPr>
        <w:pStyle w:val="Default"/>
        <w:rPr>
          <w:b/>
          <w:bCs/>
        </w:rPr>
      </w:pPr>
    </w:p>
    <w:p w:rsidR="004610A3" w:rsidRDefault="004610A3" w:rsidP="00014A0B">
      <w:pPr>
        <w:pStyle w:val="Default"/>
        <w:rPr>
          <w:b/>
          <w:bCs/>
        </w:rPr>
      </w:pPr>
    </w:p>
    <w:p w:rsidR="004610A3" w:rsidRDefault="004610A3" w:rsidP="00014A0B">
      <w:pPr>
        <w:pStyle w:val="Default"/>
        <w:rPr>
          <w:b/>
          <w:bCs/>
        </w:rPr>
      </w:pPr>
    </w:p>
    <w:p w:rsidR="004610A3" w:rsidRDefault="004610A3" w:rsidP="00014A0B">
      <w:pPr>
        <w:pStyle w:val="Default"/>
        <w:rPr>
          <w:b/>
          <w:bCs/>
        </w:rPr>
      </w:pPr>
    </w:p>
    <w:p w:rsidR="004610A3" w:rsidRDefault="004610A3" w:rsidP="00014A0B">
      <w:pPr>
        <w:pStyle w:val="Default"/>
        <w:rPr>
          <w:b/>
          <w:bCs/>
        </w:rPr>
      </w:pPr>
    </w:p>
    <w:p w:rsidR="00014A0B" w:rsidRPr="00B22323" w:rsidRDefault="00014A0B" w:rsidP="00B22323">
      <w:pPr>
        <w:pStyle w:val="Heading2"/>
      </w:pPr>
      <w:bookmarkStart w:id="390" w:name="_Toc489345866"/>
      <w:bookmarkStart w:id="391" w:name="_Toc489346071"/>
      <w:bookmarkStart w:id="392" w:name="_Toc489537785"/>
      <w:r w:rsidRPr="00B22323">
        <w:t>References</w:t>
      </w:r>
      <w:bookmarkEnd w:id="390"/>
      <w:bookmarkEnd w:id="391"/>
      <w:bookmarkEnd w:id="392"/>
      <w:r w:rsidRPr="00B22323">
        <w:t xml:space="preserve"> </w:t>
      </w:r>
    </w:p>
    <w:p w:rsidR="00014A0B" w:rsidRDefault="00014A0B" w:rsidP="00014A0B">
      <w:pPr>
        <w:pStyle w:val="Default"/>
        <w:spacing w:line="360" w:lineRule="auto"/>
      </w:pPr>
    </w:p>
    <w:p w:rsidR="00014A0B" w:rsidRPr="00757BC0" w:rsidRDefault="00014A0B" w:rsidP="00D620B7">
      <w:pPr>
        <w:pStyle w:val="Default"/>
        <w:spacing w:line="360" w:lineRule="auto"/>
        <w:jc w:val="both"/>
        <w:rPr>
          <w:u w:val="single"/>
        </w:rPr>
      </w:pPr>
      <w:r w:rsidRPr="00CE77E8">
        <w:t>Absa, (201</w:t>
      </w:r>
      <w:r>
        <w:t>7</w:t>
      </w:r>
      <w:r w:rsidRPr="00CE77E8">
        <w:t>): Agricultural Outlook 201</w:t>
      </w:r>
      <w:r>
        <w:t>7</w:t>
      </w:r>
      <w:r w:rsidRPr="00CE77E8">
        <w:t xml:space="preserve">: Available online: </w:t>
      </w:r>
      <w:r w:rsidRPr="00757BC0">
        <w:rPr>
          <w:color w:val="0000FF"/>
          <w:u w:val="single"/>
        </w:rPr>
        <w:t>http://www.agrisa.co.za</w:t>
      </w:r>
      <w:r w:rsidRPr="00757BC0">
        <w:rPr>
          <w:u w:val="single"/>
        </w:rPr>
        <w:t xml:space="preserve"> </w:t>
      </w:r>
    </w:p>
    <w:p w:rsidR="00014A0B" w:rsidRDefault="00014A0B" w:rsidP="00D620B7">
      <w:pPr>
        <w:pStyle w:val="Default"/>
        <w:spacing w:line="360" w:lineRule="auto"/>
        <w:jc w:val="both"/>
      </w:pPr>
    </w:p>
    <w:p w:rsidR="00014A0B" w:rsidRDefault="00014A0B" w:rsidP="00D620B7">
      <w:pPr>
        <w:pStyle w:val="Default"/>
        <w:spacing w:line="360" w:lineRule="auto"/>
        <w:jc w:val="both"/>
        <w:rPr>
          <w:bCs/>
        </w:rPr>
      </w:pPr>
      <w:proofErr w:type="spellStart"/>
      <w:r>
        <w:t>Agbiz</w:t>
      </w:r>
      <w:proofErr w:type="spellEnd"/>
      <w:r>
        <w:t xml:space="preserve"> (</w:t>
      </w:r>
      <w:r w:rsidR="00687472">
        <w:t>201</w:t>
      </w:r>
      <w:r w:rsidR="00687472">
        <w:t>7</w:t>
      </w:r>
      <w:r>
        <w:t xml:space="preserve">): </w:t>
      </w:r>
      <w:r w:rsidRPr="002C528E">
        <w:rPr>
          <w:bCs/>
        </w:rPr>
        <w:t>Agribusiness Outlook for 2017</w:t>
      </w:r>
      <w:r>
        <w:rPr>
          <w:bCs/>
        </w:rPr>
        <w:t xml:space="preserve">: </w:t>
      </w:r>
      <w:r w:rsidRPr="00CE77E8">
        <w:t>Available online:</w:t>
      </w:r>
      <w:r w:rsidRPr="002C528E">
        <w:rPr>
          <w:color w:val="0000FF"/>
          <w:u w:val="single"/>
        </w:rPr>
        <w:t xml:space="preserve"> </w:t>
      </w:r>
      <w:r w:rsidRPr="00757BC0">
        <w:rPr>
          <w:color w:val="0000FF"/>
          <w:u w:val="single"/>
        </w:rPr>
        <w:t>www.</w:t>
      </w:r>
      <w:r>
        <w:rPr>
          <w:color w:val="0000FF"/>
          <w:u w:val="single"/>
        </w:rPr>
        <w:t>farmingportal.co.za/index.../9032-agribusiness-outlook-for-2017-south-africa</w:t>
      </w:r>
    </w:p>
    <w:p w:rsidR="00014A0B" w:rsidRDefault="00014A0B" w:rsidP="00D620B7">
      <w:pPr>
        <w:pStyle w:val="Default"/>
        <w:spacing w:line="360" w:lineRule="auto"/>
        <w:jc w:val="both"/>
        <w:rPr>
          <w:bCs/>
        </w:rPr>
      </w:pPr>
    </w:p>
    <w:p w:rsidR="00014A0B" w:rsidRPr="00757BC0" w:rsidRDefault="00014A0B" w:rsidP="00D620B7">
      <w:pPr>
        <w:pStyle w:val="Default"/>
        <w:spacing w:line="360" w:lineRule="auto"/>
        <w:jc w:val="both"/>
        <w:rPr>
          <w:color w:val="0000FF"/>
          <w:u w:val="single"/>
        </w:rPr>
      </w:pPr>
      <w:r w:rsidRPr="00CE77E8">
        <w:t>Department of Agriculture Forestry and Fisheries, (201</w:t>
      </w:r>
      <w:r>
        <w:t>7</w:t>
      </w:r>
      <w:r w:rsidRPr="00CE77E8">
        <w:t xml:space="preserve">) Available online: </w:t>
      </w:r>
      <w:r w:rsidRPr="00757BC0">
        <w:rPr>
          <w:color w:val="0000FF"/>
          <w:u w:val="single"/>
        </w:rPr>
        <w:t>www.</w:t>
      </w:r>
      <w:r>
        <w:rPr>
          <w:color w:val="0000FF"/>
          <w:u w:val="single"/>
        </w:rPr>
        <w:t>gov.za/about-SA/fisheries</w:t>
      </w:r>
    </w:p>
    <w:p w:rsidR="00014A0B" w:rsidRDefault="00014A0B" w:rsidP="00D620B7">
      <w:pPr>
        <w:pStyle w:val="Default"/>
        <w:spacing w:line="360" w:lineRule="auto"/>
        <w:jc w:val="both"/>
      </w:pPr>
    </w:p>
    <w:p w:rsidR="00014A0B" w:rsidRDefault="00014A0B" w:rsidP="00D620B7">
      <w:pPr>
        <w:pStyle w:val="Default"/>
        <w:spacing w:line="360" w:lineRule="auto"/>
        <w:jc w:val="both"/>
      </w:pPr>
      <w:r>
        <w:t xml:space="preserve">Du </w:t>
      </w:r>
      <w:proofErr w:type="spellStart"/>
      <w:r>
        <w:t>Pisanie</w:t>
      </w:r>
      <w:proofErr w:type="spellEnd"/>
      <w:r>
        <w:t>, K. (2016): Groundnut production in South Africa: Will it pick its head up?</w:t>
      </w:r>
    </w:p>
    <w:p w:rsidR="00014A0B" w:rsidRPr="00757BC0" w:rsidRDefault="00014A0B" w:rsidP="00D620B7">
      <w:pPr>
        <w:pStyle w:val="Default"/>
        <w:spacing w:line="360" w:lineRule="auto"/>
        <w:jc w:val="both"/>
        <w:rPr>
          <w:u w:val="single"/>
        </w:rPr>
      </w:pPr>
      <w:r>
        <w:t xml:space="preserve">Available online: </w:t>
      </w:r>
      <w:r w:rsidRPr="00757BC0">
        <w:rPr>
          <w:color w:val="0000FF"/>
          <w:u w:val="single"/>
          <w:shd w:val="clear" w:color="auto" w:fill="FFFFFF"/>
        </w:rPr>
        <w:t>https://journals.co.za/content/journal/10520/EJC-538cdff65</w:t>
      </w:r>
    </w:p>
    <w:p w:rsidR="00014A0B" w:rsidRDefault="00014A0B" w:rsidP="00D620B7">
      <w:pPr>
        <w:pStyle w:val="Default"/>
        <w:spacing w:line="360" w:lineRule="auto"/>
        <w:jc w:val="both"/>
      </w:pPr>
    </w:p>
    <w:p w:rsidR="00014A0B" w:rsidRPr="00757BC0" w:rsidRDefault="00014A0B" w:rsidP="00D620B7">
      <w:pPr>
        <w:pStyle w:val="Default"/>
        <w:spacing w:line="360" w:lineRule="auto"/>
        <w:jc w:val="both"/>
        <w:rPr>
          <w:color w:val="0000FF"/>
        </w:rPr>
      </w:pPr>
      <w:r>
        <w:t>Event</w:t>
      </w:r>
      <w:r w:rsidRPr="00CE77E8">
        <w:t xml:space="preserve"> (</w:t>
      </w:r>
      <w:r w:rsidR="00687472" w:rsidRPr="00CE77E8">
        <w:t>201</w:t>
      </w:r>
      <w:r w:rsidR="00687472">
        <w:t>7</w:t>
      </w:r>
      <w:r w:rsidRPr="00CE77E8">
        <w:t xml:space="preserve">): </w:t>
      </w:r>
      <w:r>
        <w:t>SA Agribusiness: Looking ahead to 2017.</w:t>
      </w:r>
      <w:r w:rsidRPr="00CE77E8">
        <w:t xml:space="preserve"> Available online: </w:t>
      </w:r>
      <w:r w:rsidRPr="00757BC0">
        <w:rPr>
          <w:color w:val="0000FF"/>
          <w:u w:val="single"/>
        </w:rPr>
        <w:t>http://www.theevent.co.za/sa-agribusiness-looking-ahead-2017</w:t>
      </w:r>
      <w:r w:rsidRPr="00757BC0">
        <w:rPr>
          <w:color w:val="0000FF"/>
        </w:rPr>
        <w:t xml:space="preserve"> </w:t>
      </w:r>
    </w:p>
    <w:p w:rsidR="00014A0B" w:rsidRPr="00757BC0" w:rsidRDefault="00014A0B" w:rsidP="00D620B7">
      <w:pPr>
        <w:pStyle w:val="Default"/>
        <w:spacing w:line="360" w:lineRule="auto"/>
        <w:jc w:val="both"/>
        <w:rPr>
          <w:color w:val="0000FF"/>
        </w:rPr>
      </w:pPr>
    </w:p>
    <w:p w:rsidR="00014A0B" w:rsidRDefault="00014A0B" w:rsidP="00D620B7">
      <w:pPr>
        <w:pStyle w:val="Default"/>
        <w:spacing w:line="360" w:lineRule="auto"/>
        <w:jc w:val="both"/>
      </w:pPr>
      <w:r w:rsidRPr="00CE77E8">
        <w:t xml:space="preserve">Food and Agricultural Organization (FAO), </w:t>
      </w:r>
      <w:r>
        <w:t>June</w:t>
      </w:r>
      <w:r w:rsidRPr="00CE77E8">
        <w:t xml:space="preserve"> 201</w:t>
      </w:r>
      <w:r>
        <w:t>7</w:t>
      </w:r>
      <w:r w:rsidRPr="00CE77E8">
        <w:t>: Food outlook: Bi annual report on global food markets. Available online</w:t>
      </w:r>
      <w:r w:rsidRPr="00757BC0">
        <w:rPr>
          <w:color w:val="0000FF"/>
          <w:u w:val="single"/>
        </w:rPr>
        <w:t>: http://www.fao.org</w:t>
      </w:r>
      <w:r w:rsidRPr="00CE77E8">
        <w:t xml:space="preserve"> </w:t>
      </w:r>
    </w:p>
    <w:p w:rsidR="00014A0B" w:rsidRPr="00AD64FB" w:rsidRDefault="00014A0B" w:rsidP="00D620B7">
      <w:pPr>
        <w:jc w:val="both"/>
      </w:pPr>
    </w:p>
    <w:p w:rsidR="00014A0B" w:rsidRDefault="00014A0B" w:rsidP="00D620B7">
      <w:pPr>
        <w:tabs>
          <w:tab w:val="left" w:pos="2490"/>
        </w:tabs>
        <w:jc w:val="both"/>
        <w:rPr>
          <w:rFonts w:cs="Arial"/>
          <w:color w:val="0000FF"/>
          <w:u w:val="single"/>
        </w:rPr>
      </w:pPr>
      <w:proofErr w:type="spellStart"/>
      <w:r w:rsidRPr="00D620B7">
        <w:rPr>
          <w:rFonts w:cs="Arial"/>
          <w:sz w:val="24"/>
          <w:szCs w:val="24"/>
        </w:rPr>
        <w:t>Gobal</w:t>
      </w:r>
      <w:proofErr w:type="spellEnd"/>
      <w:r w:rsidRPr="00D620B7">
        <w:rPr>
          <w:rFonts w:cs="Arial"/>
          <w:sz w:val="24"/>
          <w:szCs w:val="24"/>
        </w:rPr>
        <w:t xml:space="preserve"> Trade Atlas information service (2016): Available online:</w:t>
      </w:r>
      <w:r w:rsidRPr="00AD64FB">
        <w:rPr>
          <w:rFonts w:cs="Arial"/>
        </w:rPr>
        <w:t xml:space="preserve"> </w:t>
      </w:r>
      <w:r w:rsidRPr="00AD64FB">
        <w:rPr>
          <w:rFonts w:cs="Arial"/>
          <w:color w:val="0000FF"/>
          <w:u w:val="single"/>
        </w:rPr>
        <w:t xml:space="preserve">http://www.worldtradestatistics.com/gta/ </w:t>
      </w:r>
    </w:p>
    <w:p w:rsidR="00014A0B" w:rsidRDefault="00014A0B" w:rsidP="00D620B7">
      <w:pPr>
        <w:tabs>
          <w:tab w:val="left" w:pos="2490"/>
        </w:tabs>
        <w:jc w:val="both"/>
        <w:rPr>
          <w:rFonts w:cs="Arial"/>
          <w:color w:val="0000FF"/>
          <w:u w:val="single"/>
        </w:rPr>
      </w:pPr>
    </w:p>
    <w:p w:rsidR="00687472" w:rsidRDefault="00014A0B" w:rsidP="00D620B7">
      <w:pPr>
        <w:autoSpaceDE w:val="0"/>
        <w:autoSpaceDN w:val="0"/>
        <w:adjustRightInd w:val="0"/>
        <w:spacing w:line="360" w:lineRule="auto"/>
        <w:jc w:val="both"/>
        <w:rPr>
          <w:rFonts w:eastAsiaTheme="minorHAnsi" w:cs="Arial"/>
          <w:i/>
          <w:iCs/>
          <w:color w:val="FFFFFF"/>
          <w:sz w:val="40"/>
          <w:szCs w:val="40"/>
        </w:rPr>
      </w:pPr>
      <w:r w:rsidRPr="00D620B7">
        <w:rPr>
          <w:rFonts w:cs="Arial"/>
          <w:color w:val="000000" w:themeColor="text1"/>
          <w:sz w:val="24"/>
          <w:szCs w:val="24"/>
        </w:rPr>
        <w:t xml:space="preserve">IDC (2017): Industrial Development Corporation: </w:t>
      </w:r>
      <w:r w:rsidRPr="00D620B7">
        <w:rPr>
          <w:rFonts w:eastAsiaTheme="minorHAnsi" w:cs="Arial"/>
          <w:bCs/>
          <w:iCs/>
          <w:color w:val="000000" w:themeColor="text1"/>
          <w:sz w:val="24"/>
          <w:szCs w:val="24"/>
        </w:rPr>
        <w:t>Economic overview: Recent developments in the global and South African Economies, February 2017: Available online</w:t>
      </w:r>
      <w:r>
        <w:rPr>
          <w:rFonts w:eastAsiaTheme="minorHAnsi" w:cs="Arial"/>
          <w:bCs/>
          <w:iCs/>
          <w:color w:val="000000" w:themeColor="text1"/>
        </w:rPr>
        <w:t xml:space="preserve">: </w:t>
      </w:r>
      <w:hyperlink r:id="rId77" w:history="1">
        <w:r w:rsidR="00687472" w:rsidRPr="003322C6">
          <w:rPr>
            <w:rStyle w:val="Hyperlink"/>
            <w:rFonts w:cs="Arial"/>
          </w:rPr>
          <w:t>https://www.idc.co.za/images/IDC_RI_publication_External_-_Economic_Overview_16_February_2017_1.compressed_1.pdf</w:t>
        </w:r>
      </w:hyperlink>
    </w:p>
    <w:p w:rsidR="00014A0B" w:rsidRDefault="00014A0B" w:rsidP="00D620B7">
      <w:pPr>
        <w:autoSpaceDE w:val="0"/>
        <w:autoSpaceDN w:val="0"/>
        <w:adjustRightInd w:val="0"/>
        <w:spacing w:line="360" w:lineRule="auto"/>
        <w:jc w:val="both"/>
      </w:pPr>
      <w:proofErr w:type="spellStart"/>
      <w:proofErr w:type="gramStart"/>
      <w:r w:rsidRPr="00D620B7">
        <w:rPr>
          <w:rFonts w:eastAsiaTheme="minorHAnsi" w:cs="Arial"/>
          <w:i/>
          <w:iCs/>
          <w:color w:val="FFFFFF"/>
          <w:sz w:val="24"/>
          <w:szCs w:val="24"/>
        </w:rPr>
        <w:t>i</w:t>
      </w:r>
      <w:r w:rsidRPr="00D620B7">
        <w:rPr>
          <w:rFonts w:cs="Arial"/>
          <w:sz w:val="24"/>
          <w:szCs w:val="24"/>
        </w:rPr>
        <w:t>Milk</w:t>
      </w:r>
      <w:proofErr w:type="spellEnd"/>
      <w:proofErr w:type="gramEnd"/>
      <w:r w:rsidRPr="00D620B7">
        <w:rPr>
          <w:rFonts w:cs="Arial"/>
          <w:sz w:val="24"/>
          <w:szCs w:val="24"/>
        </w:rPr>
        <w:t xml:space="preserve"> Producers’ Organisation, (2016): Dairy Market Trends, June 2017. Available onli</w:t>
      </w:r>
      <w:r w:rsidRPr="00E86E95">
        <w:rPr>
          <w:rFonts w:cs="Arial"/>
        </w:rPr>
        <w:t xml:space="preserve">ne: </w:t>
      </w:r>
      <w:r w:rsidRPr="00E86E95">
        <w:rPr>
          <w:rFonts w:cs="Arial"/>
          <w:color w:val="0000FF"/>
          <w:u w:val="single"/>
        </w:rPr>
        <w:t>http://www.mpo.co.za</w:t>
      </w:r>
      <w:r w:rsidRPr="00E86E95">
        <w:rPr>
          <w:rFonts w:cs="Arial"/>
        </w:rPr>
        <w:t xml:space="preserve"> </w:t>
      </w:r>
    </w:p>
    <w:p w:rsidR="00014A0B" w:rsidRPr="00913532" w:rsidRDefault="00014A0B" w:rsidP="00D620B7">
      <w:pPr>
        <w:pStyle w:val="Default"/>
        <w:spacing w:line="360" w:lineRule="auto"/>
        <w:jc w:val="both"/>
        <w:rPr>
          <w:color w:val="auto"/>
        </w:rPr>
      </w:pPr>
      <w:r w:rsidRPr="00913532">
        <w:rPr>
          <w:color w:val="auto"/>
        </w:rPr>
        <w:t>South African Poultry Association (SAPA), 201</w:t>
      </w:r>
      <w:r>
        <w:rPr>
          <w:color w:val="auto"/>
        </w:rPr>
        <w:t>6</w:t>
      </w:r>
      <w:r w:rsidRPr="00913532">
        <w:rPr>
          <w:color w:val="auto"/>
        </w:rPr>
        <w:t>: Key Market Sig</w:t>
      </w:r>
      <w:r>
        <w:rPr>
          <w:color w:val="auto"/>
        </w:rPr>
        <w:t>nals in the egg industry: 4th</w:t>
      </w:r>
      <w:r w:rsidRPr="00913532">
        <w:rPr>
          <w:color w:val="auto"/>
        </w:rPr>
        <w:t xml:space="preserve"> quarter 201</w:t>
      </w:r>
      <w:r>
        <w:rPr>
          <w:color w:val="auto"/>
        </w:rPr>
        <w:t>6</w:t>
      </w:r>
      <w:r w:rsidRPr="00913532">
        <w:rPr>
          <w:color w:val="auto"/>
        </w:rPr>
        <w:t xml:space="preserve">. </w:t>
      </w:r>
      <w:r w:rsidRPr="00304692">
        <w:rPr>
          <w:color w:val="0000FF"/>
          <w:u w:val="single"/>
        </w:rPr>
        <w:t>Available online: http://www.sapoultry.co.za</w:t>
      </w:r>
      <w:r w:rsidRPr="00913532">
        <w:rPr>
          <w:color w:val="auto"/>
        </w:rPr>
        <w:t xml:space="preserve"> </w:t>
      </w:r>
    </w:p>
    <w:p w:rsidR="00014A0B" w:rsidRDefault="00014A0B" w:rsidP="00D620B7">
      <w:pPr>
        <w:pStyle w:val="Default"/>
        <w:spacing w:line="360" w:lineRule="auto"/>
        <w:jc w:val="both"/>
        <w:rPr>
          <w:color w:val="auto"/>
        </w:rPr>
      </w:pPr>
    </w:p>
    <w:p w:rsidR="00014A0B" w:rsidRPr="00956F15" w:rsidRDefault="00014A0B" w:rsidP="00D620B7">
      <w:pPr>
        <w:spacing w:after="0" w:line="360" w:lineRule="auto"/>
        <w:jc w:val="both"/>
        <w:rPr>
          <w:rFonts w:cs="Arial"/>
        </w:rPr>
      </w:pPr>
    </w:p>
    <w:sectPr w:rsidR="00014A0B" w:rsidRPr="00956F15" w:rsidSect="00D620B7">
      <w:headerReference w:type="default" r:id="rId78"/>
      <w:footerReference w:type="default" r:id="rId7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B19" w:rsidRDefault="00EA6B19" w:rsidP="00BD4249">
      <w:pPr>
        <w:spacing w:after="0" w:line="240" w:lineRule="auto"/>
      </w:pPr>
      <w:r>
        <w:separator/>
      </w:r>
    </w:p>
  </w:endnote>
  <w:endnote w:type="continuationSeparator" w:id="0">
    <w:p w:rsidR="00EA6B19" w:rsidRDefault="00EA6B19" w:rsidP="00BD4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 Bk B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69628"/>
      <w:docPartObj>
        <w:docPartGallery w:val="Page Numbers (Bottom of Page)"/>
        <w:docPartUnique/>
      </w:docPartObj>
    </w:sdtPr>
    <w:sdtContent>
      <w:p w:rsidR="002E6059" w:rsidRDefault="002E6059">
        <w:pPr>
          <w:pStyle w:val="Footer"/>
          <w:jc w:val="right"/>
        </w:pPr>
        <w:r>
          <w:fldChar w:fldCharType="begin"/>
        </w:r>
        <w:r>
          <w:instrText xml:space="preserve"> PAGE   \* MERGEFORMAT </w:instrText>
        </w:r>
        <w:r>
          <w:fldChar w:fldCharType="separate"/>
        </w:r>
        <w:r w:rsidR="00B44523">
          <w:rPr>
            <w:noProof/>
          </w:rPr>
          <w:t>1</w:t>
        </w:r>
        <w:r>
          <w:rPr>
            <w:noProof/>
          </w:rPr>
          <w:fldChar w:fldCharType="end"/>
        </w:r>
      </w:p>
    </w:sdtContent>
  </w:sdt>
  <w:p w:rsidR="002E6059" w:rsidRDefault="002E60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B19" w:rsidRDefault="00EA6B19" w:rsidP="00BD4249">
      <w:pPr>
        <w:spacing w:after="0" w:line="240" w:lineRule="auto"/>
      </w:pPr>
      <w:r>
        <w:separator/>
      </w:r>
    </w:p>
  </w:footnote>
  <w:footnote w:type="continuationSeparator" w:id="0">
    <w:p w:rsidR="00EA6B19" w:rsidRDefault="00EA6B19" w:rsidP="00BD42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059" w:rsidRDefault="002E6059">
    <w:pPr>
      <w:pStyle w:val="Header"/>
      <w:rPr>
        <w:sz w:val="16"/>
        <w:szCs w:val="16"/>
      </w:rPr>
    </w:pPr>
    <w:r w:rsidRPr="006329E6">
      <w:rPr>
        <w:sz w:val="16"/>
        <w:szCs w:val="16"/>
      </w:rPr>
      <w:t>Quarterly Economic Overview of the Agriculture, Forestry and Fisheries sector: First quarter 2017</w:t>
    </w:r>
  </w:p>
  <w:p w:rsidR="002E6059" w:rsidRPr="006329E6" w:rsidRDefault="002E6059">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339C"/>
    <w:multiLevelType w:val="multilevel"/>
    <w:tmpl w:val="4FF8422C"/>
    <w:lvl w:ilvl="0">
      <w:start w:val="1"/>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
    <w:nsid w:val="1A1B21B9"/>
    <w:multiLevelType w:val="multilevel"/>
    <w:tmpl w:val="E66C7D90"/>
    <w:lvl w:ilvl="0">
      <w:start w:val="1"/>
      <w:numFmt w:val="decimal"/>
      <w:lvlText w:val="%1"/>
      <w:lvlJc w:val="left"/>
      <w:pPr>
        <w:ind w:left="360" w:hanging="360"/>
      </w:pPr>
      <w:rPr>
        <w:rFonts w:cstheme="majorBidi" w:hint="default"/>
      </w:rPr>
    </w:lvl>
    <w:lvl w:ilvl="1">
      <w:start w:val="3"/>
      <w:numFmt w:val="decimal"/>
      <w:lvlText w:val="%1.%2"/>
      <w:lvlJc w:val="left"/>
      <w:pPr>
        <w:ind w:left="360" w:hanging="36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720" w:hanging="72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080" w:hanging="108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440" w:hanging="1440"/>
      </w:pPr>
      <w:rPr>
        <w:rFonts w:cstheme="majorBidi" w:hint="default"/>
      </w:rPr>
    </w:lvl>
    <w:lvl w:ilvl="8">
      <w:start w:val="1"/>
      <w:numFmt w:val="decimal"/>
      <w:lvlText w:val="%1.%2.%3.%4.%5.%6.%7.%8.%9"/>
      <w:lvlJc w:val="left"/>
      <w:pPr>
        <w:ind w:left="1800" w:hanging="1800"/>
      </w:pPr>
      <w:rPr>
        <w:rFonts w:cstheme="majorBidi" w:hint="default"/>
      </w:rPr>
    </w:lvl>
  </w:abstractNum>
  <w:abstractNum w:abstractNumId="2">
    <w:nsid w:val="1ADD3A66"/>
    <w:multiLevelType w:val="hybridMultilevel"/>
    <w:tmpl w:val="39F262E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nsid w:val="3B1B3107"/>
    <w:multiLevelType w:val="multilevel"/>
    <w:tmpl w:val="356E280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4036078C"/>
    <w:multiLevelType w:val="multilevel"/>
    <w:tmpl w:val="8F6C8BE6"/>
    <w:lvl w:ilvl="0">
      <w:start w:val="1"/>
      <w:numFmt w:val="decimal"/>
      <w:lvlText w:val="%1."/>
      <w:lvlJc w:val="left"/>
      <w:pPr>
        <w:ind w:left="360" w:hanging="36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5">
    <w:nsid w:val="41191D61"/>
    <w:multiLevelType w:val="multilevel"/>
    <w:tmpl w:val="B56C843E"/>
    <w:lvl w:ilvl="0">
      <w:start w:val="1"/>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6">
    <w:nsid w:val="454D6831"/>
    <w:multiLevelType w:val="hybridMultilevel"/>
    <w:tmpl w:val="836099DC"/>
    <w:lvl w:ilvl="0" w:tplc="D63C4B70">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563B4D09"/>
    <w:multiLevelType w:val="multilevel"/>
    <w:tmpl w:val="1F02147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611F28FF"/>
    <w:multiLevelType w:val="multilevel"/>
    <w:tmpl w:val="F6A4BA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6B183BE6"/>
    <w:multiLevelType w:val="multilevel"/>
    <w:tmpl w:val="2DD2394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7205787F"/>
    <w:multiLevelType w:val="multilevel"/>
    <w:tmpl w:val="52608D58"/>
    <w:lvl w:ilvl="0">
      <w:start w:val="3"/>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77E01F45"/>
    <w:multiLevelType w:val="multilevel"/>
    <w:tmpl w:val="7F24FFB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6"/>
  </w:num>
  <w:num w:numId="3">
    <w:abstractNumId w:val="7"/>
  </w:num>
  <w:num w:numId="4">
    <w:abstractNumId w:val="10"/>
  </w:num>
  <w:num w:numId="5">
    <w:abstractNumId w:val="9"/>
  </w:num>
  <w:num w:numId="6">
    <w:abstractNumId w:val="11"/>
  </w:num>
  <w:num w:numId="7">
    <w:abstractNumId w:val="4"/>
  </w:num>
  <w:num w:numId="8">
    <w:abstractNumId w:val="0"/>
  </w:num>
  <w:num w:numId="9">
    <w:abstractNumId w:val="3"/>
  </w:num>
  <w:num w:numId="10">
    <w:abstractNumId w:val="1"/>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917"/>
    <w:rsid w:val="000000CC"/>
    <w:rsid w:val="000046CE"/>
    <w:rsid w:val="00004B07"/>
    <w:rsid w:val="00005AA5"/>
    <w:rsid w:val="00007275"/>
    <w:rsid w:val="00007520"/>
    <w:rsid w:val="00007B86"/>
    <w:rsid w:val="000128DD"/>
    <w:rsid w:val="00013524"/>
    <w:rsid w:val="00014815"/>
    <w:rsid w:val="00014A0B"/>
    <w:rsid w:val="000160F8"/>
    <w:rsid w:val="0001720E"/>
    <w:rsid w:val="000176DE"/>
    <w:rsid w:val="00020B5E"/>
    <w:rsid w:val="00020B61"/>
    <w:rsid w:val="000220FA"/>
    <w:rsid w:val="000232AB"/>
    <w:rsid w:val="00024979"/>
    <w:rsid w:val="0002513C"/>
    <w:rsid w:val="00025F9D"/>
    <w:rsid w:val="0002688E"/>
    <w:rsid w:val="0002730D"/>
    <w:rsid w:val="00031440"/>
    <w:rsid w:val="00032A0D"/>
    <w:rsid w:val="000334E9"/>
    <w:rsid w:val="00033E30"/>
    <w:rsid w:val="0003449B"/>
    <w:rsid w:val="000345DD"/>
    <w:rsid w:val="00035B23"/>
    <w:rsid w:val="0003712A"/>
    <w:rsid w:val="000371A9"/>
    <w:rsid w:val="00042644"/>
    <w:rsid w:val="0004360B"/>
    <w:rsid w:val="0004381D"/>
    <w:rsid w:val="0004458B"/>
    <w:rsid w:val="000464A9"/>
    <w:rsid w:val="0004786F"/>
    <w:rsid w:val="00047BB7"/>
    <w:rsid w:val="00047C17"/>
    <w:rsid w:val="00050FE1"/>
    <w:rsid w:val="0005166B"/>
    <w:rsid w:val="000516B8"/>
    <w:rsid w:val="00051B6B"/>
    <w:rsid w:val="00053572"/>
    <w:rsid w:val="0005504B"/>
    <w:rsid w:val="00055159"/>
    <w:rsid w:val="0005563C"/>
    <w:rsid w:val="00055A67"/>
    <w:rsid w:val="00055FE4"/>
    <w:rsid w:val="0005620F"/>
    <w:rsid w:val="00056EEC"/>
    <w:rsid w:val="00057146"/>
    <w:rsid w:val="00057AA2"/>
    <w:rsid w:val="00060E2D"/>
    <w:rsid w:val="000611BA"/>
    <w:rsid w:val="00062F25"/>
    <w:rsid w:val="000650E2"/>
    <w:rsid w:val="0006567D"/>
    <w:rsid w:val="00066EA3"/>
    <w:rsid w:val="000673B6"/>
    <w:rsid w:val="0007056E"/>
    <w:rsid w:val="000752FD"/>
    <w:rsid w:val="0007574C"/>
    <w:rsid w:val="00076120"/>
    <w:rsid w:val="00076778"/>
    <w:rsid w:val="00082C1A"/>
    <w:rsid w:val="00084221"/>
    <w:rsid w:val="00084864"/>
    <w:rsid w:val="00085172"/>
    <w:rsid w:val="00086C89"/>
    <w:rsid w:val="00086FB5"/>
    <w:rsid w:val="0008724C"/>
    <w:rsid w:val="00090AF3"/>
    <w:rsid w:val="00091524"/>
    <w:rsid w:val="00092FF6"/>
    <w:rsid w:val="0009527F"/>
    <w:rsid w:val="000959C7"/>
    <w:rsid w:val="000959CB"/>
    <w:rsid w:val="000959F2"/>
    <w:rsid w:val="00096DB6"/>
    <w:rsid w:val="00096EA6"/>
    <w:rsid w:val="000A0A75"/>
    <w:rsid w:val="000A0F39"/>
    <w:rsid w:val="000A1030"/>
    <w:rsid w:val="000A2180"/>
    <w:rsid w:val="000A21A2"/>
    <w:rsid w:val="000A35D3"/>
    <w:rsid w:val="000A3B45"/>
    <w:rsid w:val="000A4050"/>
    <w:rsid w:val="000A62D8"/>
    <w:rsid w:val="000A710C"/>
    <w:rsid w:val="000A713E"/>
    <w:rsid w:val="000A7273"/>
    <w:rsid w:val="000B0459"/>
    <w:rsid w:val="000B086E"/>
    <w:rsid w:val="000B1282"/>
    <w:rsid w:val="000B4690"/>
    <w:rsid w:val="000B4C13"/>
    <w:rsid w:val="000B7C5A"/>
    <w:rsid w:val="000C0332"/>
    <w:rsid w:val="000C0F0E"/>
    <w:rsid w:val="000C17E4"/>
    <w:rsid w:val="000C3C06"/>
    <w:rsid w:val="000C47FE"/>
    <w:rsid w:val="000C4AA1"/>
    <w:rsid w:val="000C4AD3"/>
    <w:rsid w:val="000C4BA3"/>
    <w:rsid w:val="000C641F"/>
    <w:rsid w:val="000C6D41"/>
    <w:rsid w:val="000D42D6"/>
    <w:rsid w:val="000D4368"/>
    <w:rsid w:val="000D5402"/>
    <w:rsid w:val="000D6173"/>
    <w:rsid w:val="000D6440"/>
    <w:rsid w:val="000D6599"/>
    <w:rsid w:val="000D6902"/>
    <w:rsid w:val="000E02A7"/>
    <w:rsid w:val="000E058B"/>
    <w:rsid w:val="000E06B8"/>
    <w:rsid w:val="000E107C"/>
    <w:rsid w:val="000E264F"/>
    <w:rsid w:val="000E2699"/>
    <w:rsid w:val="000E33CF"/>
    <w:rsid w:val="000E4873"/>
    <w:rsid w:val="000E4C8F"/>
    <w:rsid w:val="000E53B6"/>
    <w:rsid w:val="000E5460"/>
    <w:rsid w:val="000E5A63"/>
    <w:rsid w:val="000E6030"/>
    <w:rsid w:val="000E69C4"/>
    <w:rsid w:val="000E717E"/>
    <w:rsid w:val="000F11C8"/>
    <w:rsid w:val="000F1B53"/>
    <w:rsid w:val="000F246D"/>
    <w:rsid w:val="000F2D2B"/>
    <w:rsid w:val="000F3EDF"/>
    <w:rsid w:val="000F4ACC"/>
    <w:rsid w:val="000F51F3"/>
    <w:rsid w:val="000F6DDA"/>
    <w:rsid w:val="000F7E3D"/>
    <w:rsid w:val="0010078B"/>
    <w:rsid w:val="001022C0"/>
    <w:rsid w:val="00102AAF"/>
    <w:rsid w:val="0010342E"/>
    <w:rsid w:val="00103704"/>
    <w:rsid w:val="0010503C"/>
    <w:rsid w:val="0010671E"/>
    <w:rsid w:val="00106E05"/>
    <w:rsid w:val="00107B08"/>
    <w:rsid w:val="0011334C"/>
    <w:rsid w:val="00115245"/>
    <w:rsid w:val="00115795"/>
    <w:rsid w:val="001161FF"/>
    <w:rsid w:val="0011649E"/>
    <w:rsid w:val="00120B75"/>
    <w:rsid w:val="00121728"/>
    <w:rsid w:val="0012193B"/>
    <w:rsid w:val="00122271"/>
    <w:rsid w:val="00122B55"/>
    <w:rsid w:val="00122BE7"/>
    <w:rsid w:val="001235C7"/>
    <w:rsid w:val="00123713"/>
    <w:rsid w:val="001256A6"/>
    <w:rsid w:val="001261B9"/>
    <w:rsid w:val="00130BFB"/>
    <w:rsid w:val="00130FA2"/>
    <w:rsid w:val="00131B70"/>
    <w:rsid w:val="00132919"/>
    <w:rsid w:val="0013293C"/>
    <w:rsid w:val="00134300"/>
    <w:rsid w:val="0013494A"/>
    <w:rsid w:val="001349AF"/>
    <w:rsid w:val="00134D9B"/>
    <w:rsid w:val="00135685"/>
    <w:rsid w:val="00136061"/>
    <w:rsid w:val="00136BEB"/>
    <w:rsid w:val="001440FA"/>
    <w:rsid w:val="00144866"/>
    <w:rsid w:val="001479C9"/>
    <w:rsid w:val="00150F24"/>
    <w:rsid w:val="00151071"/>
    <w:rsid w:val="00151E1E"/>
    <w:rsid w:val="0015295D"/>
    <w:rsid w:val="001558BB"/>
    <w:rsid w:val="00156828"/>
    <w:rsid w:val="00160959"/>
    <w:rsid w:val="00160AA6"/>
    <w:rsid w:val="00161276"/>
    <w:rsid w:val="00161B55"/>
    <w:rsid w:val="0016271B"/>
    <w:rsid w:val="00162AC0"/>
    <w:rsid w:val="00163A42"/>
    <w:rsid w:val="00163E06"/>
    <w:rsid w:val="001649C1"/>
    <w:rsid w:val="00172BA1"/>
    <w:rsid w:val="00172FF3"/>
    <w:rsid w:val="00173791"/>
    <w:rsid w:val="0017607A"/>
    <w:rsid w:val="001768EA"/>
    <w:rsid w:val="0018024E"/>
    <w:rsid w:val="0018202D"/>
    <w:rsid w:val="00182BCC"/>
    <w:rsid w:val="00182CDC"/>
    <w:rsid w:val="00184D3E"/>
    <w:rsid w:val="00185533"/>
    <w:rsid w:val="00185DA3"/>
    <w:rsid w:val="00190213"/>
    <w:rsid w:val="001911CB"/>
    <w:rsid w:val="00192FE8"/>
    <w:rsid w:val="00194B08"/>
    <w:rsid w:val="001961EA"/>
    <w:rsid w:val="00196672"/>
    <w:rsid w:val="001977BC"/>
    <w:rsid w:val="00197A70"/>
    <w:rsid w:val="001A120A"/>
    <w:rsid w:val="001A764E"/>
    <w:rsid w:val="001B0D05"/>
    <w:rsid w:val="001B104C"/>
    <w:rsid w:val="001B13EA"/>
    <w:rsid w:val="001B16A6"/>
    <w:rsid w:val="001B3501"/>
    <w:rsid w:val="001B3903"/>
    <w:rsid w:val="001C108F"/>
    <w:rsid w:val="001C260B"/>
    <w:rsid w:val="001C2786"/>
    <w:rsid w:val="001C2B25"/>
    <w:rsid w:val="001C3436"/>
    <w:rsid w:val="001C3596"/>
    <w:rsid w:val="001C388E"/>
    <w:rsid w:val="001C54DB"/>
    <w:rsid w:val="001C7170"/>
    <w:rsid w:val="001D036A"/>
    <w:rsid w:val="001D148D"/>
    <w:rsid w:val="001D1767"/>
    <w:rsid w:val="001D224E"/>
    <w:rsid w:val="001D2325"/>
    <w:rsid w:val="001D277C"/>
    <w:rsid w:val="001D2B91"/>
    <w:rsid w:val="001D2C12"/>
    <w:rsid w:val="001D3B48"/>
    <w:rsid w:val="001D41DD"/>
    <w:rsid w:val="001D4413"/>
    <w:rsid w:val="001E03C8"/>
    <w:rsid w:val="001E168B"/>
    <w:rsid w:val="001E1D90"/>
    <w:rsid w:val="001E2132"/>
    <w:rsid w:val="001E34D6"/>
    <w:rsid w:val="001E4084"/>
    <w:rsid w:val="001E59A4"/>
    <w:rsid w:val="001E5D4B"/>
    <w:rsid w:val="001E6823"/>
    <w:rsid w:val="001E76C6"/>
    <w:rsid w:val="001F04F3"/>
    <w:rsid w:val="001F0DD1"/>
    <w:rsid w:val="001F5132"/>
    <w:rsid w:val="001F711B"/>
    <w:rsid w:val="001F78FE"/>
    <w:rsid w:val="001F7BFB"/>
    <w:rsid w:val="0020020B"/>
    <w:rsid w:val="0020026D"/>
    <w:rsid w:val="0020091F"/>
    <w:rsid w:val="00202992"/>
    <w:rsid w:val="00203CD9"/>
    <w:rsid w:val="00204210"/>
    <w:rsid w:val="002053C6"/>
    <w:rsid w:val="00212A4D"/>
    <w:rsid w:val="00213B80"/>
    <w:rsid w:val="002140A4"/>
    <w:rsid w:val="0021467A"/>
    <w:rsid w:val="0021504B"/>
    <w:rsid w:val="00217E87"/>
    <w:rsid w:val="00220652"/>
    <w:rsid w:val="00220D79"/>
    <w:rsid w:val="00222549"/>
    <w:rsid w:val="00222B4E"/>
    <w:rsid w:val="00224703"/>
    <w:rsid w:val="00224715"/>
    <w:rsid w:val="002255B4"/>
    <w:rsid w:val="002261DF"/>
    <w:rsid w:val="002275A0"/>
    <w:rsid w:val="002301A4"/>
    <w:rsid w:val="0023062E"/>
    <w:rsid w:val="0023136C"/>
    <w:rsid w:val="00231396"/>
    <w:rsid w:val="002318D7"/>
    <w:rsid w:val="00232FCA"/>
    <w:rsid w:val="00233D6D"/>
    <w:rsid w:val="0023536D"/>
    <w:rsid w:val="002368E4"/>
    <w:rsid w:val="00237DF6"/>
    <w:rsid w:val="00241242"/>
    <w:rsid w:val="0024171D"/>
    <w:rsid w:val="00242669"/>
    <w:rsid w:val="0024619D"/>
    <w:rsid w:val="00252A74"/>
    <w:rsid w:val="00253226"/>
    <w:rsid w:val="00254B31"/>
    <w:rsid w:val="00254CC3"/>
    <w:rsid w:val="00255B43"/>
    <w:rsid w:val="00262AF7"/>
    <w:rsid w:val="0026473F"/>
    <w:rsid w:val="00265794"/>
    <w:rsid w:val="00266525"/>
    <w:rsid w:val="00267A01"/>
    <w:rsid w:val="00271FEE"/>
    <w:rsid w:val="00275BB8"/>
    <w:rsid w:val="00276E67"/>
    <w:rsid w:val="00277925"/>
    <w:rsid w:val="00280701"/>
    <w:rsid w:val="002816A2"/>
    <w:rsid w:val="00281894"/>
    <w:rsid w:val="00282262"/>
    <w:rsid w:val="002849BF"/>
    <w:rsid w:val="0028542E"/>
    <w:rsid w:val="002862B4"/>
    <w:rsid w:val="002877D2"/>
    <w:rsid w:val="00287915"/>
    <w:rsid w:val="002879D1"/>
    <w:rsid w:val="00291888"/>
    <w:rsid w:val="00291EFC"/>
    <w:rsid w:val="00293951"/>
    <w:rsid w:val="00295DBE"/>
    <w:rsid w:val="002A175F"/>
    <w:rsid w:val="002A2508"/>
    <w:rsid w:val="002A3670"/>
    <w:rsid w:val="002A5D17"/>
    <w:rsid w:val="002A5E78"/>
    <w:rsid w:val="002A66E6"/>
    <w:rsid w:val="002B04F2"/>
    <w:rsid w:val="002B157A"/>
    <w:rsid w:val="002B2894"/>
    <w:rsid w:val="002B2AB3"/>
    <w:rsid w:val="002B3850"/>
    <w:rsid w:val="002B3A07"/>
    <w:rsid w:val="002B3D33"/>
    <w:rsid w:val="002B3EF3"/>
    <w:rsid w:val="002B425C"/>
    <w:rsid w:val="002B4318"/>
    <w:rsid w:val="002B5055"/>
    <w:rsid w:val="002C13D4"/>
    <w:rsid w:val="002C20CC"/>
    <w:rsid w:val="002C35DD"/>
    <w:rsid w:val="002C3704"/>
    <w:rsid w:val="002C57DF"/>
    <w:rsid w:val="002D1E2B"/>
    <w:rsid w:val="002D2F0C"/>
    <w:rsid w:val="002D35A7"/>
    <w:rsid w:val="002D3A33"/>
    <w:rsid w:val="002D3BFD"/>
    <w:rsid w:val="002D4C0F"/>
    <w:rsid w:val="002D6354"/>
    <w:rsid w:val="002D6D7E"/>
    <w:rsid w:val="002D70F2"/>
    <w:rsid w:val="002D7590"/>
    <w:rsid w:val="002D7ABA"/>
    <w:rsid w:val="002E20AC"/>
    <w:rsid w:val="002E2902"/>
    <w:rsid w:val="002E2F33"/>
    <w:rsid w:val="002E2F43"/>
    <w:rsid w:val="002E30E8"/>
    <w:rsid w:val="002E3321"/>
    <w:rsid w:val="002E388D"/>
    <w:rsid w:val="002E4119"/>
    <w:rsid w:val="002E4EB5"/>
    <w:rsid w:val="002E6059"/>
    <w:rsid w:val="002F04EC"/>
    <w:rsid w:val="002F1089"/>
    <w:rsid w:val="002F1ED2"/>
    <w:rsid w:val="002F455D"/>
    <w:rsid w:val="002F6939"/>
    <w:rsid w:val="002F74A0"/>
    <w:rsid w:val="00300152"/>
    <w:rsid w:val="003007CD"/>
    <w:rsid w:val="0030337C"/>
    <w:rsid w:val="00304DCB"/>
    <w:rsid w:val="003056FB"/>
    <w:rsid w:val="00307B33"/>
    <w:rsid w:val="00314A6B"/>
    <w:rsid w:val="00315B01"/>
    <w:rsid w:val="00315C82"/>
    <w:rsid w:val="00316B0A"/>
    <w:rsid w:val="00323158"/>
    <w:rsid w:val="00323271"/>
    <w:rsid w:val="00323A3C"/>
    <w:rsid w:val="00323C6D"/>
    <w:rsid w:val="003257E1"/>
    <w:rsid w:val="003260CC"/>
    <w:rsid w:val="00331F61"/>
    <w:rsid w:val="00336D8C"/>
    <w:rsid w:val="00340655"/>
    <w:rsid w:val="00340F51"/>
    <w:rsid w:val="00341CFD"/>
    <w:rsid w:val="003431C8"/>
    <w:rsid w:val="0034404F"/>
    <w:rsid w:val="00350E2A"/>
    <w:rsid w:val="00350F88"/>
    <w:rsid w:val="00353150"/>
    <w:rsid w:val="003553A9"/>
    <w:rsid w:val="0035544D"/>
    <w:rsid w:val="003561BD"/>
    <w:rsid w:val="00356C3E"/>
    <w:rsid w:val="00361B6B"/>
    <w:rsid w:val="00363469"/>
    <w:rsid w:val="00363C60"/>
    <w:rsid w:val="00363D07"/>
    <w:rsid w:val="0036458B"/>
    <w:rsid w:val="0036690E"/>
    <w:rsid w:val="00370A29"/>
    <w:rsid w:val="00370F49"/>
    <w:rsid w:val="00371694"/>
    <w:rsid w:val="00371DD8"/>
    <w:rsid w:val="0037314D"/>
    <w:rsid w:val="0037330F"/>
    <w:rsid w:val="00375A57"/>
    <w:rsid w:val="0038525D"/>
    <w:rsid w:val="00387AA9"/>
    <w:rsid w:val="00390862"/>
    <w:rsid w:val="003908F0"/>
    <w:rsid w:val="0039381C"/>
    <w:rsid w:val="00394F3A"/>
    <w:rsid w:val="0039544D"/>
    <w:rsid w:val="00395D49"/>
    <w:rsid w:val="00396DB3"/>
    <w:rsid w:val="00397594"/>
    <w:rsid w:val="003A0926"/>
    <w:rsid w:val="003A1742"/>
    <w:rsid w:val="003A1D0A"/>
    <w:rsid w:val="003A3C9C"/>
    <w:rsid w:val="003A3FBA"/>
    <w:rsid w:val="003A6E3B"/>
    <w:rsid w:val="003A7934"/>
    <w:rsid w:val="003B0218"/>
    <w:rsid w:val="003B32A8"/>
    <w:rsid w:val="003B4079"/>
    <w:rsid w:val="003B64D8"/>
    <w:rsid w:val="003B66CB"/>
    <w:rsid w:val="003C16C1"/>
    <w:rsid w:val="003C1707"/>
    <w:rsid w:val="003C33AB"/>
    <w:rsid w:val="003C4CE8"/>
    <w:rsid w:val="003C4F51"/>
    <w:rsid w:val="003C5843"/>
    <w:rsid w:val="003C6451"/>
    <w:rsid w:val="003C77F4"/>
    <w:rsid w:val="003D0DFD"/>
    <w:rsid w:val="003D242E"/>
    <w:rsid w:val="003D3374"/>
    <w:rsid w:val="003D4291"/>
    <w:rsid w:val="003D4644"/>
    <w:rsid w:val="003D5B9A"/>
    <w:rsid w:val="003D635B"/>
    <w:rsid w:val="003D75A1"/>
    <w:rsid w:val="003E0759"/>
    <w:rsid w:val="003E08A2"/>
    <w:rsid w:val="003E0E1C"/>
    <w:rsid w:val="003E0E98"/>
    <w:rsid w:val="003E0F53"/>
    <w:rsid w:val="003E3867"/>
    <w:rsid w:val="003E5CBE"/>
    <w:rsid w:val="003E6918"/>
    <w:rsid w:val="003E6FC5"/>
    <w:rsid w:val="003E704C"/>
    <w:rsid w:val="003F01E6"/>
    <w:rsid w:val="003F2711"/>
    <w:rsid w:val="003F6BDF"/>
    <w:rsid w:val="003F794A"/>
    <w:rsid w:val="003F7AA3"/>
    <w:rsid w:val="004001E8"/>
    <w:rsid w:val="0040129F"/>
    <w:rsid w:val="0040150E"/>
    <w:rsid w:val="00401B65"/>
    <w:rsid w:val="00401BD5"/>
    <w:rsid w:val="0040250C"/>
    <w:rsid w:val="00405150"/>
    <w:rsid w:val="004053A3"/>
    <w:rsid w:val="00405450"/>
    <w:rsid w:val="00405934"/>
    <w:rsid w:val="00406962"/>
    <w:rsid w:val="004069C3"/>
    <w:rsid w:val="00407039"/>
    <w:rsid w:val="00410911"/>
    <w:rsid w:val="004156A3"/>
    <w:rsid w:val="00422B29"/>
    <w:rsid w:val="00423419"/>
    <w:rsid w:val="004240DC"/>
    <w:rsid w:val="004320EC"/>
    <w:rsid w:val="00433CC4"/>
    <w:rsid w:val="0043479A"/>
    <w:rsid w:val="004349FA"/>
    <w:rsid w:val="00434E8F"/>
    <w:rsid w:val="004368A5"/>
    <w:rsid w:val="00437C3D"/>
    <w:rsid w:val="0044119A"/>
    <w:rsid w:val="004424C4"/>
    <w:rsid w:val="00445656"/>
    <w:rsid w:val="00446065"/>
    <w:rsid w:val="0044678B"/>
    <w:rsid w:val="00451377"/>
    <w:rsid w:val="004532E2"/>
    <w:rsid w:val="00453BA2"/>
    <w:rsid w:val="00453EE7"/>
    <w:rsid w:val="00453FB5"/>
    <w:rsid w:val="00454E90"/>
    <w:rsid w:val="00455395"/>
    <w:rsid w:val="004559A1"/>
    <w:rsid w:val="004568D2"/>
    <w:rsid w:val="00460540"/>
    <w:rsid w:val="004610A3"/>
    <w:rsid w:val="00461D67"/>
    <w:rsid w:val="00462426"/>
    <w:rsid w:val="0046295F"/>
    <w:rsid w:val="00463212"/>
    <w:rsid w:val="0046397A"/>
    <w:rsid w:val="004640A5"/>
    <w:rsid w:val="0046423C"/>
    <w:rsid w:val="0046437C"/>
    <w:rsid w:val="0046537D"/>
    <w:rsid w:val="00465887"/>
    <w:rsid w:val="0046596A"/>
    <w:rsid w:val="00466432"/>
    <w:rsid w:val="00466DDB"/>
    <w:rsid w:val="00467B61"/>
    <w:rsid w:val="00470993"/>
    <w:rsid w:val="004722CB"/>
    <w:rsid w:val="0047246F"/>
    <w:rsid w:val="004739A9"/>
    <w:rsid w:val="00474C08"/>
    <w:rsid w:val="00480042"/>
    <w:rsid w:val="00482531"/>
    <w:rsid w:val="004845BC"/>
    <w:rsid w:val="00484B07"/>
    <w:rsid w:val="00484D60"/>
    <w:rsid w:val="00485240"/>
    <w:rsid w:val="0048536D"/>
    <w:rsid w:val="00485A3B"/>
    <w:rsid w:val="004865F2"/>
    <w:rsid w:val="00487275"/>
    <w:rsid w:val="00487B9C"/>
    <w:rsid w:val="004937AA"/>
    <w:rsid w:val="004941FE"/>
    <w:rsid w:val="00494276"/>
    <w:rsid w:val="00494739"/>
    <w:rsid w:val="0049497B"/>
    <w:rsid w:val="0049551F"/>
    <w:rsid w:val="00495AAC"/>
    <w:rsid w:val="004A075B"/>
    <w:rsid w:val="004A1B3A"/>
    <w:rsid w:val="004A32B3"/>
    <w:rsid w:val="004A72FE"/>
    <w:rsid w:val="004A75F8"/>
    <w:rsid w:val="004B0D61"/>
    <w:rsid w:val="004B326F"/>
    <w:rsid w:val="004B35C4"/>
    <w:rsid w:val="004B4E55"/>
    <w:rsid w:val="004B4E83"/>
    <w:rsid w:val="004B5239"/>
    <w:rsid w:val="004B6C71"/>
    <w:rsid w:val="004B6D7F"/>
    <w:rsid w:val="004C084D"/>
    <w:rsid w:val="004C08B6"/>
    <w:rsid w:val="004C3B02"/>
    <w:rsid w:val="004C3C61"/>
    <w:rsid w:val="004C3D52"/>
    <w:rsid w:val="004C51F7"/>
    <w:rsid w:val="004C66A5"/>
    <w:rsid w:val="004C6EA1"/>
    <w:rsid w:val="004D0486"/>
    <w:rsid w:val="004D1A7D"/>
    <w:rsid w:val="004D1BEB"/>
    <w:rsid w:val="004D2BE0"/>
    <w:rsid w:val="004D5766"/>
    <w:rsid w:val="004D599F"/>
    <w:rsid w:val="004D7445"/>
    <w:rsid w:val="004E09F2"/>
    <w:rsid w:val="004E3202"/>
    <w:rsid w:val="004E5D24"/>
    <w:rsid w:val="004E6398"/>
    <w:rsid w:val="004E67C3"/>
    <w:rsid w:val="004E7180"/>
    <w:rsid w:val="004E7461"/>
    <w:rsid w:val="004E7E54"/>
    <w:rsid w:val="004F04BC"/>
    <w:rsid w:val="004F0DD0"/>
    <w:rsid w:val="004F21C9"/>
    <w:rsid w:val="004F21D7"/>
    <w:rsid w:val="004F29EF"/>
    <w:rsid w:val="004F3032"/>
    <w:rsid w:val="004F31B1"/>
    <w:rsid w:val="004F472F"/>
    <w:rsid w:val="004F6195"/>
    <w:rsid w:val="004F6937"/>
    <w:rsid w:val="005032C2"/>
    <w:rsid w:val="00503BF9"/>
    <w:rsid w:val="00504DC5"/>
    <w:rsid w:val="00505044"/>
    <w:rsid w:val="00506931"/>
    <w:rsid w:val="0050728B"/>
    <w:rsid w:val="00512B69"/>
    <w:rsid w:val="00513471"/>
    <w:rsid w:val="005143EF"/>
    <w:rsid w:val="005145D0"/>
    <w:rsid w:val="00514DE1"/>
    <w:rsid w:val="00515B09"/>
    <w:rsid w:val="00515F3E"/>
    <w:rsid w:val="00520029"/>
    <w:rsid w:val="005208D0"/>
    <w:rsid w:val="00525F43"/>
    <w:rsid w:val="0052697E"/>
    <w:rsid w:val="0052756D"/>
    <w:rsid w:val="00527580"/>
    <w:rsid w:val="00530E47"/>
    <w:rsid w:val="00531070"/>
    <w:rsid w:val="00531FB2"/>
    <w:rsid w:val="005334F6"/>
    <w:rsid w:val="0053509E"/>
    <w:rsid w:val="005350A6"/>
    <w:rsid w:val="005350DA"/>
    <w:rsid w:val="005352B0"/>
    <w:rsid w:val="00535A56"/>
    <w:rsid w:val="00535E76"/>
    <w:rsid w:val="00535E8D"/>
    <w:rsid w:val="005363DC"/>
    <w:rsid w:val="00536F1B"/>
    <w:rsid w:val="00537A85"/>
    <w:rsid w:val="00541FCC"/>
    <w:rsid w:val="00542FB6"/>
    <w:rsid w:val="00545E72"/>
    <w:rsid w:val="0055015E"/>
    <w:rsid w:val="005504C0"/>
    <w:rsid w:val="00550EE0"/>
    <w:rsid w:val="0055165E"/>
    <w:rsid w:val="005526F3"/>
    <w:rsid w:val="005623FC"/>
    <w:rsid w:val="005647B9"/>
    <w:rsid w:val="00564D0B"/>
    <w:rsid w:val="00564FB8"/>
    <w:rsid w:val="00566C6B"/>
    <w:rsid w:val="00567F93"/>
    <w:rsid w:val="00571B37"/>
    <w:rsid w:val="00572B1C"/>
    <w:rsid w:val="00575A86"/>
    <w:rsid w:val="005760B4"/>
    <w:rsid w:val="0057789C"/>
    <w:rsid w:val="00577C8C"/>
    <w:rsid w:val="00577FD5"/>
    <w:rsid w:val="00580C76"/>
    <w:rsid w:val="00582859"/>
    <w:rsid w:val="005842D8"/>
    <w:rsid w:val="00585B0C"/>
    <w:rsid w:val="005878EF"/>
    <w:rsid w:val="00587A92"/>
    <w:rsid w:val="005905F6"/>
    <w:rsid w:val="00591E3A"/>
    <w:rsid w:val="00592471"/>
    <w:rsid w:val="00593905"/>
    <w:rsid w:val="0059458F"/>
    <w:rsid w:val="005A0364"/>
    <w:rsid w:val="005A0F29"/>
    <w:rsid w:val="005A1BA9"/>
    <w:rsid w:val="005A559B"/>
    <w:rsid w:val="005A70A3"/>
    <w:rsid w:val="005A7209"/>
    <w:rsid w:val="005A787F"/>
    <w:rsid w:val="005B0572"/>
    <w:rsid w:val="005B2CC4"/>
    <w:rsid w:val="005B3663"/>
    <w:rsid w:val="005B59A5"/>
    <w:rsid w:val="005B5DB1"/>
    <w:rsid w:val="005C1BE3"/>
    <w:rsid w:val="005C2280"/>
    <w:rsid w:val="005C3AA3"/>
    <w:rsid w:val="005C3E48"/>
    <w:rsid w:val="005C4FFD"/>
    <w:rsid w:val="005C5CE7"/>
    <w:rsid w:val="005D074D"/>
    <w:rsid w:val="005D2303"/>
    <w:rsid w:val="005D3095"/>
    <w:rsid w:val="005D34F2"/>
    <w:rsid w:val="005D3B2C"/>
    <w:rsid w:val="005D6649"/>
    <w:rsid w:val="005D6FD4"/>
    <w:rsid w:val="005E4118"/>
    <w:rsid w:val="005E663E"/>
    <w:rsid w:val="005E79E3"/>
    <w:rsid w:val="005F0176"/>
    <w:rsid w:val="005F0EF8"/>
    <w:rsid w:val="005F63BF"/>
    <w:rsid w:val="005F671F"/>
    <w:rsid w:val="005F6D59"/>
    <w:rsid w:val="00601B6F"/>
    <w:rsid w:val="006021A6"/>
    <w:rsid w:val="00604CA3"/>
    <w:rsid w:val="0060668C"/>
    <w:rsid w:val="00607F8D"/>
    <w:rsid w:val="00610763"/>
    <w:rsid w:val="00620FE2"/>
    <w:rsid w:val="00623D27"/>
    <w:rsid w:val="00624A1B"/>
    <w:rsid w:val="00625361"/>
    <w:rsid w:val="00627BF8"/>
    <w:rsid w:val="00630270"/>
    <w:rsid w:val="0063160C"/>
    <w:rsid w:val="006329E6"/>
    <w:rsid w:val="006332F4"/>
    <w:rsid w:val="00634DAC"/>
    <w:rsid w:val="00635266"/>
    <w:rsid w:val="00636D98"/>
    <w:rsid w:val="00640382"/>
    <w:rsid w:val="006424CF"/>
    <w:rsid w:val="0064309F"/>
    <w:rsid w:val="00644CAF"/>
    <w:rsid w:val="00645A6D"/>
    <w:rsid w:val="00646C6B"/>
    <w:rsid w:val="006510B7"/>
    <w:rsid w:val="00651381"/>
    <w:rsid w:val="00651E50"/>
    <w:rsid w:val="006524F5"/>
    <w:rsid w:val="00652668"/>
    <w:rsid w:val="00654311"/>
    <w:rsid w:val="006544FC"/>
    <w:rsid w:val="00654DDD"/>
    <w:rsid w:val="00656DC3"/>
    <w:rsid w:val="00657C8F"/>
    <w:rsid w:val="006616BB"/>
    <w:rsid w:val="0066370A"/>
    <w:rsid w:val="00664EAB"/>
    <w:rsid w:val="00666258"/>
    <w:rsid w:val="006672CD"/>
    <w:rsid w:val="006723A6"/>
    <w:rsid w:val="0067279E"/>
    <w:rsid w:val="0067303A"/>
    <w:rsid w:val="0067486B"/>
    <w:rsid w:val="006759C0"/>
    <w:rsid w:val="006806FC"/>
    <w:rsid w:val="00680B16"/>
    <w:rsid w:val="006818F4"/>
    <w:rsid w:val="00682260"/>
    <w:rsid w:val="00682A97"/>
    <w:rsid w:val="00683C10"/>
    <w:rsid w:val="00684EE0"/>
    <w:rsid w:val="00685031"/>
    <w:rsid w:val="00685769"/>
    <w:rsid w:val="0068722B"/>
    <w:rsid w:val="00687472"/>
    <w:rsid w:val="006917D7"/>
    <w:rsid w:val="00692324"/>
    <w:rsid w:val="00693631"/>
    <w:rsid w:val="006939DB"/>
    <w:rsid w:val="00696269"/>
    <w:rsid w:val="006A015F"/>
    <w:rsid w:val="006A1EA5"/>
    <w:rsid w:val="006A351C"/>
    <w:rsid w:val="006A5259"/>
    <w:rsid w:val="006A5655"/>
    <w:rsid w:val="006A56E6"/>
    <w:rsid w:val="006A5D9F"/>
    <w:rsid w:val="006A6C69"/>
    <w:rsid w:val="006A7D67"/>
    <w:rsid w:val="006B019E"/>
    <w:rsid w:val="006B1152"/>
    <w:rsid w:val="006B16C9"/>
    <w:rsid w:val="006B2373"/>
    <w:rsid w:val="006B3984"/>
    <w:rsid w:val="006B5A99"/>
    <w:rsid w:val="006B5D88"/>
    <w:rsid w:val="006B6F06"/>
    <w:rsid w:val="006C003C"/>
    <w:rsid w:val="006C00BC"/>
    <w:rsid w:val="006C2648"/>
    <w:rsid w:val="006C733E"/>
    <w:rsid w:val="006C7A0A"/>
    <w:rsid w:val="006C7F15"/>
    <w:rsid w:val="006D0A5D"/>
    <w:rsid w:val="006D1998"/>
    <w:rsid w:val="006D7F97"/>
    <w:rsid w:val="006E02C8"/>
    <w:rsid w:val="006E03A6"/>
    <w:rsid w:val="006E0B51"/>
    <w:rsid w:val="006E0CE7"/>
    <w:rsid w:val="006E6879"/>
    <w:rsid w:val="006F00BF"/>
    <w:rsid w:val="006F0970"/>
    <w:rsid w:val="006F14CD"/>
    <w:rsid w:val="006F1A1D"/>
    <w:rsid w:val="006F2C72"/>
    <w:rsid w:val="006F46F6"/>
    <w:rsid w:val="006F4FAA"/>
    <w:rsid w:val="006F592E"/>
    <w:rsid w:val="006F77E3"/>
    <w:rsid w:val="006F7F4E"/>
    <w:rsid w:val="006F7FE3"/>
    <w:rsid w:val="0070044F"/>
    <w:rsid w:val="00701F9B"/>
    <w:rsid w:val="00702FFD"/>
    <w:rsid w:val="007032EC"/>
    <w:rsid w:val="00703558"/>
    <w:rsid w:val="00703BE0"/>
    <w:rsid w:val="00703F94"/>
    <w:rsid w:val="00704C01"/>
    <w:rsid w:val="00705939"/>
    <w:rsid w:val="00706783"/>
    <w:rsid w:val="007067D3"/>
    <w:rsid w:val="00707207"/>
    <w:rsid w:val="007110D7"/>
    <w:rsid w:val="0071187E"/>
    <w:rsid w:val="00712A85"/>
    <w:rsid w:val="00713A4C"/>
    <w:rsid w:val="00715CD4"/>
    <w:rsid w:val="0071722B"/>
    <w:rsid w:val="00720E01"/>
    <w:rsid w:val="00721192"/>
    <w:rsid w:val="007214ED"/>
    <w:rsid w:val="0072341D"/>
    <w:rsid w:val="00723741"/>
    <w:rsid w:val="00724893"/>
    <w:rsid w:val="00724D53"/>
    <w:rsid w:val="00725955"/>
    <w:rsid w:val="00727A1B"/>
    <w:rsid w:val="00730BBA"/>
    <w:rsid w:val="00731843"/>
    <w:rsid w:val="00732747"/>
    <w:rsid w:val="00735ED3"/>
    <w:rsid w:val="007367E5"/>
    <w:rsid w:val="00736EBB"/>
    <w:rsid w:val="007414E4"/>
    <w:rsid w:val="0074283D"/>
    <w:rsid w:val="007460A4"/>
    <w:rsid w:val="007471C3"/>
    <w:rsid w:val="007500FB"/>
    <w:rsid w:val="007539C0"/>
    <w:rsid w:val="00754620"/>
    <w:rsid w:val="00754CCA"/>
    <w:rsid w:val="00755DD1"/>
    <w:rsid w:val="00756874"/>
    <w:rsid w:val="007573E3"/>
    <w:rsid w:val="00760194"/>
    <w:rsid w:val="007634A7"/>
    <w:rsid w:val="00764292"/>
    <w:rsid w:val="00771352"/>
    <w:rsid w:val="00772055"/>
    <w:rsid w:val="00774963"/>
    <w:rsid w:val="00775096"/>
    <w:rsid w:val="0077586C"/>
    <w:rsid w:val="00775E49"/>
    <w:rsid w:val="00776428"/>
    <w:rsid w:val="0077679B"/>
    <w:rsid w:val="00776836"/>
    <w:rsid w:val="00776CAF"/>
    <w:rsid w:val="00782640"/>
    <w:rsid w:val="00784F42"/>
    <w:rsid w:val="00786E89"/>
    <w:rsid w:val="00790C62"/>
    <w:rsid w:val="00791F5E"/>
    <w:rsid w:val="0079357F"/>
    <w:rsid w:val="00793A1C"/>
    <w:rsid w:val="00795FA9"/>
    <w:rsid w:val="007960EE"/>
    <w:rsid w:val="007965F8"/>
    <w:rsid w:val="007969F7"/>
    <w:rsid w:val="00797D85"/>
    <w:rsid w:val="007A0FB9"/>
    <w:rsid w:val="007A25FC"/>
    <w:rsid w:val="007A3754"/>
    <w:rsid w:val="007A3AE2"/>
    <w:rsid w:val="007A3EC6"/>
    <w:rsid w:val="007A62A8"/>
    <w:rsid w:val="007A6C26"/>
    <w:rsid w:val="007A7C67"/>
    <w:rsid w:val="007B16CC"/>
    <w:rsid w:val="007B32A6"/>
    <w:rsid w:val="007B370D"/>
    <w:rsid w:val="007B4371"/>
    <w:rsid w:val="007B4B3C"/>
    <w:rsid w:val="007B691F"/>
    <w:rsid w:val="007B7262"/>
    <w:rsid w:val="007C1CA0"/>
    <w:rsid w:val="007C5D5E"/>
    <w:rsid w:val="007C7B75"/>
    <w:rsid w:val="007D1066"/>
    <w:rsid w:val="007D25A9"/>
    <w:rsid w:val="007D3483"/>
    <w:rsid w:val="007D3DE7"/>
    <w:rsid w:val="007D3E37"/>
    <w:rsid w:val="007D50E1"/>
    <w:rsid w:val="007D518A"/>
    <w:rsid w:val="007D55B0"/>
    <w:rsid w:val="007D5A61"/>
    <w:rsid w:val="007E06E6"/>
    <w:rsid w:val="007E0991"/>
    <w:rsid w:val="007E1DD5"/>
    <w:rsid w:val="007E2724"/>
    <w:rsid w:val="007E3139"/>
    <w:rsid w:val="007E35DF"/>
    <w:rsid w:val="007E44BB"/>
    <w:rsid w:val="007E4BE1"/>
    <w:rsid w:val="007E5462"/>
    <w:rsid w:val="007E5B6C"/>
    <w:rsid w:val="007E5FD5"/>
    <w:rsid w:val="007E702B"/>
    <w:rsid w:val="007E730A"/>
    <w:rsid w:val="007F103D"/>
    <w:rsid w:val="007F161E"/>
    <w:rsid w:val="007F167D"/>
    <w:rsid w:val="007F257F"/>
    <w:rsid w:val="007F347F"/>
    <w:rsid w:val="007F4C89"/>
    <w:rsid w:val="007F5A8A"/>
    <w:rsid w:val="007F6116"/>
    <w:rsid w:val="00803598"/>
    <w:rsid w:val="00803F79"/>
    <w:rsid w:val="00804080"/>
    <w:rsid w:val="0080461E"/>
    <w:rsid w:val="00805272"/>
    <w:rsid w:val="00805BC0"/>
    <w:rsid w:val="00805CE3"/>
    <w:rsid w:val="00806264"/>
    <w:rsid w:val="0080741D"/>
    <w:rsid w:val="0081065D"/>
    <w:rsid w:val="0081253C"/>
    <w:rsid w:val="00816281"/>
    <w:rsid w:val="00817484"/>
    <w:rsid w:val="008174C8"/>
    <w:rsid w:val="008174E6"/>
    <w:rsid w:val="008175B1"/>
    <w:rsid w:val="00817C70"/>
    <w:rsid w:val="00821CB5"/>
    <w:rsid w:val="00821FBB"/>
    <w:rsid w:val="00822C4E"/>
    <w:rsid w:val="0082321F"/>
    <w:rsid w:val="00825BC3"/>
    <w:rsid w:val="00825C34"/>
    <w:rsid w:val="00827831"/>
    <w:rsid w:val="008310C8"/>
    <w:rsid w:val="00833011"/>
    <w:rsid w:val="00833E8C"/>
    <w:rsid w:val="008345EB"/>
    <w:rsid w:val="0083565A"/>
    <w:rsid w:val="00836C53"/>
    <w:rsid w:val="008400E2"/>
    <w:rsid w:val="0084103B"/>
    <w:rsid w:val="0084106C"/>
    <w:rsid w:val="008425AC"/>
    <w:rsid w:val="008442FE"/>
    <w:rsid w:val="008452FA"/>
    <w:rsid w:val="008514A1"/>
    <w:rsid w:val="00851966"/>
    <w:rsid w:val="00851977"/>
    <w:rsid w:val="00851ABF"/>
    <w:rsid w:val="008526CD"/>
    <w:rsid w:val="00852717"/>
    <w:rsid w:val="0085330B"/>
    <w:rsid w:val="00854382"/>
    <w:rsid w:val="0086328C"/>
    <w:rsid w:val="0086348A"/>
    <w:rsid w:val="00863A49"/>
    <w:rsid w:val="00864492"/>
    <w:rsid w:val="00865520"/>
    <w:rsid w:val="00866C14"/>
    <w:rsid w:val="00866C86"/>
    <w:rsid w:val="0087180A"/>
    <w:rsid w:val="00872F33"/>
    <w:rsid w:val="0087425B"/>
    <w:rsid w:val="00874800"/>
    <w:rsid w:val="00874877"/>
    <w:rsid w:val="00875272"/>
    <w:rsid w:val="008809D1"/>
    <w:rsid w:val="00881DB1"/>
    <w:rsid w:val="008853B3"/>
    <w:rsid w:val="008868E1"/>
    <w:rsid w:val="008879C6"/>
    <w:rsid w:val="00890400"/>
    <w:rsid w:val="00890AAB"/>
    <w:rsid w:val="00891D20"/>
    <w:rsid w:val="008926FB"/>
    <w:rsid w:val="0089276B"/>
    <w:rsid w:val="00895AFB"/>
    <w:rsid w:val="00895DED"/>
    <w:rsid w:val="00897AAB"/>
    <w:rsid w:val="008A0039"/>
    <w:rsid w:val="008A04A3"/>
    <w:rsid w:val="008A3D08"/>
    <w:rsid w:val="008A4463"/>
    <w:rsid w:val="008A49DE"/>
    <w:rsid w:val="008A4A9F"/>
    <w:rsid w:val="008A5664"/>
    <w:rsid w:val="008A58FD"/>
    <w:rsid w:val="008A6620"/>
    <w:rsid w:val="008A7E41"/>
    <w:rsid w:val="008B091C"/>
    <w:rsid w:val="008B26CF"/>
    <w:rsid w:val="008B3208"/>
    <w:rsid w:val="008B55A2"/>
    <w:rsid w:val="008B6E7B"/>
    <w:rsid w:val="008B74B6"/>
    <w:rsid w:val="008C01DE"/>
    <w:rsid w:val="008C632C"/>
    <w:rsid w:val="008C6376"/>
    <w:rsid w:val="008D0D68"/>
    <w:rsid w:val="008D203C"/>
    <w:rsid w:val="008D2053"/>
    <w:rsid w:val="008D2BB4"/>
    <w:rsid w:val="008D3F15"/>
    <w:rsid w:val="008D44A3"/>
    <w:rsid w:val="008D49F5"/>
    <w:rsid w:val="008D5D79"/>
    <w:rsid w:val="008D65C8"/>
    <w:rsid w:val="008D725D"/>
    <w:rsid w:val="008D7571"/>
    <w:rsid w:val="008E01C2"/>
    <w:rsid w:val="008E075C"/>
    <w:rsid w:val="008E2539"/>
    <w:rsid w:val="008E274D"/>
    <w:rsid w:val="008E5CD5"/>
    <w:rsid w:val="008E6A13"/>
    <w:rsid w:val="008E7463"/>
    <w:rsid w:val="008F259B"/>
    <w:rsid w:val="008F265C"/>
    <w:rsid w:val="008F5B2F"/>
    <w:rsid w:val="00900605"/>
    <w:rsid w:val="00900C21"/>
    <w:rsid w:val="009026E6"/>
    <w:rsid w:val="00902D69"/>
    <w:rsid w:val="00903A1B"/>
    <w:rsid w:val="00906F38"/>
    <w:rsid w:val="00913E7F"/>
    <w:rsid w:val="00914155"/>
    <w:rsid w:val="00914EC3"/>
    <w:rsid w:val="00917333"/>
    <w:rsid w:val="00921AC5"/>
    <w:rsid w:val="00921D04"/>
    <w:rsid w:val="00921DDB"/>
    <w:rsid w:val="0092244E"/>
    <w:rsid w:val="00924F03"/>
    <w:rsid w:val="00925250"/>
    <w:rsid w:val="009260A2"/>
    <w:rsid w:val="00927ECB"/>
    <w:rsid w:val="0093117C"/>
    <w:rsid w:val="00936085"/>
    <w:rsid w:val="00936ED5"/>
    <w:rsid w:val="0093771B"/>
    <w:rsid w:val="00942D45"/>
    <w:rsid w:val="009437BF"/>
    <w:rsid w:val="0094482C"/>
    <w:rsid w:val="00944E99"/>
    <w:rsid w:val="00946F33"/>
    <w:rsid w:val="009517C1"/>
    <w:rsid w:val="00952883"/>
    <w:rsid w:val="00954F04"/>
    <w:rsid w:val="00956F15"/>
    <w:rsid w:val="00956F5B"/>
    <w:rsid w:val="00957F0A"/>
    <w:rsid w:val="00960F8D"/>
    <w:rsid w:val="00962B63"/>
    <w:rsid w:val="00962DD2"/>
    <w:rsid w:val="00966083"/>
    <w:rsid w:val="0097062B"/>
    <w:rsid w:val="00972E53"/>
    <w:rsid w:val="00973BF6"/>
    <w:rsid w:val="00977651"/>
    <w:rsid w:val="0098130C"/>
    <w:rsid w:val="0098141D"/>
    <w:rsid w:val="00981917"/>
    <w:rsid w:val="00983984"/>
    <w:rsid w:val="00986145"/>
    <w:rsid w:val="00990241"/>
    <w:rsid w:val="0099107E"/>
    <w:rsid w:val="009923B1"/>
    <w:rsid w:val="00994177"/>
    <w:rsid w:val="009953C5"/>
    <w:rsid w:val="009956A6"/>
    <w:rsid w:val="00997186"/>
    <w:rsid w:val="00997C36"/>
    <w:rsid w:val="009A0354"/>
    <w:rsid w:val="009A2380"/>
    <w:rsid w:val="009A2904"/>
    <w:rsid w:val="009A3A9D"/>
    <w:rsid w:val="009A40C0"/>
    <w:rsid w:val="009A450D"/>
    <w:rsid w:val="009A57B8"/>
    <w:rsid w:val="009B07D9"/>
    <w:rsid w:val="009B19F4"/>
    <w:rsid w:val="009B2168"/>
    <w:rsid w:val="009B2824"/>
    <w:rsid w:val="009B7A2B"/>
    <w:rsid w:val="009C37D9"/>
    <w:rsid w:val="009C527B"/>
    <w:rsid w:val="009C5B15"/>
    <w:rsid w:val="009C6281"/>
    <w:rsid w:val="009D2BD7"/>
    <w:rsid w:val="009D2BF5"/>
    <w:rsid w:val="009D323A"/>
    <w:rsid w:val="009D403D"/>
    <w:rsid w:val="009D46AD"/>
    <w:rsid w:val="009D6056"/>
    <w:rsid w:val="009D7CD2"/>
    <w:rsid w:val="009E2184"/>
    <w:rsid w:val="009E26E7"/>
    <w:rsid w:val="009E3735"/>
    <w:rsid w:val="009E598F"/>
    <w:rsid w:val="009E6255"/>
    <w:rsid w:val="009E6351"/>
    <w:rsid w:val="009F04C6"/>
    <w:rsid w:val="009F0B37"/>
    <w:rsid w:val="009F270F"/>
    <w:rsid w:val="009F45F2"/>
    <w:rsid w:val="009F774D"/>
    <w:rsid w:val="00A025DE"/>
    <w:rsid w:val="00A03F6F"/>
    <w:rsid w:val="00A04EF5"/>
    <w:rsid w:val="00A0573A"/>
    <w:rsid w:val="00A14AC5"/>
    <w:rsid w:val="00A1537F"/>
    <w:rsid w:val="00A168F9"/>
    <w:rsid w:val="00A20DF9"/>
    <w:rsid w:val="00A21599"/>
    <w:rsid w:val="00A22959"/>
    <w:rsid w:val="00A2384F"/>
    <w:rsid w:val="00A251EF"/>
    <w:rsid w:val="00A25E81"/>
    <w:rsid w:val="00A263E8"/>
    <w:rsid w:val="00A275CC"/>
    <w:rsid w:val="00A30D97"/>
    <w:rsid w:val="00A317F7"/>
    <w:rsid w:val="00A31DE5"/>
    <w:rsid w:val="00A331CC"/>
    <w:rsid w:val="00A33DF3"/>
    <w:rsid w:val="00A34D7F"/>
    <w:rsid w:val="00A359F0"/>
    <w:rsid w:val="00A362A2"/>
    <w:rsid w:val="00A40A77"/>
    <w:rsid w:val="00A40B5D"/>
    <w:rsid w:val="00A417D0"/>
    <w:rsid w:val="00A42084"/>
    <w:rsid w:val="00A44BD5"/>
    <w:rsid w:val="00A44CE7"/>
    <w:rsid w:val="00A44FA6"/>
    <w:rsid w:val="00A458D8"/>
    <w:rsid w:val="00A45B6D"/>
    <w:rsid w:val="00A47919"/>
    <w:rsid w:val="00A50B48"/>
    <w:rsid w:val="00A52679"/>
    <w:rsid w:val="00A5434C"/>
    <w:rsid w:val="00A558A8"/>
    <w:rsid w:val="00A575C9"/>
    <w:rsid w:val="00A60340"/>
    <w:rsid w:val="00A61C69"/>
    <w:rsid w:val="00A6374D"/>
    <w:rsid w:val="00A6420E"/>
    <w:rsid w:val="00A64442"/>
    <w:rsid w:val="00A65C3F"/>
    <w:rsid w:val="00A65CE8"/>
    <w:rsid w:val="00A71526"/>
    <w:rsid w:val="00A72538"/>
    <w:rsid w:val="00A7413B"/>
    <w:rsid w:val="00A7417A"/>
    <w:rsid w:val="00A75C91"/>
    <w:rsid w:val="00A76071"/>
    <w:rsid w:val="00A762FE"/>
    <w:rsid w:val="00A779FD"/>
    <w:rsid w:val="00A84860"/>
    <w:rsid w:val="00A8597A"/>
    <w:rsid w:val="00A85A02"/>
    <w:rsid w:val="00A86F77"/>
    <w:rsid w:val="00A87369"/>
    <w:rsid w:val="00A9077C"/>
    <w:rsid w:val="00A923BF"/>
    <w:rsid w:val="00A92673"/>
    <w:rsid w:val="00A939F0"/>
    <w:rsid w:val="00A94734"/>
    <w:rsid w:val="00A95CE0"/>
    <w:rsid w:val="00AA102D"/>
    <w:rsid w:val="00AA1552"/>
    <w:rsid w:val="00AA1B95"/>
    <w:rsid w:val="00AA1CCC"/>
    <w:rsid w:val="00AA204B"/>
    <w:rsid w:val="00AA29B7"/>
    <w:rsid w:val="00AA5E5A"/>
    <w:rsid w:val="00AA62C6"/>
    <w:rsid w:val="00AA64DF"/>
    <w:rsid w:val="00AA73DE"/>
    <w:rsid w:val="00AA7FD5"/>
    <w:rsid w:val="00AB0441"/>
    <w:rsid w:val="00AB17A2"/>
    <w:rsid w:val="00AB2AB8"/>
    <w:rsid w:val="00AB2E67"/>
    <w:rsid w:val="00AB3267"/>
    <w:rsid w:val="00AB364C"/>
    <w:rsid w:val="00AB4959"/>
    <w:rsid w:val="00AB49AC"/>
    <w:rsid w:val="00AB75AB"/>
    <w:rsid w:val="00AB7B85"/>
    <w:rsid w:val="00AC114E"/>
    <w:rsid w:val="00AC1D04"/>
    <w:rsid w:val="00AC61EA"/>
    <w:rsid w:val="00AC649C"/>
    <w:rsid w:val="00AC7300"/>
    <w:rsid w:val="00AD280F"/>
    <w:rsid w:val="00AD3DB4"/>
    <w:rsid w:val="00AD43B0"/>
    <w:rsid w:val="00AD630C"/>
    <w:rsid w:val="00AD6EF3"/>
    <w:rsid w:val="00AD73F4"/>
    <w:rsid w:val="00AE150A"/>
    <w:rsid w:val="00AE2937"/>
    <w:rsid w:val="00AE2EDE"/>
    <w:rsid w:val="00AE3F11"/>
    <w:rsid w:val="00AE4F05"/>
    <w:rsid w:val="00AE5E6A"/>
    <w:rsid w:val="00AE6C8B"/>
    <w:rsid w:val="00AF389D"/>
    <w:rsid w:val="00AF5967"/>
    <w:rsid w:val="00AF6CD2"/>
    <w:rsid w:val="00AF7207"/>
    <w:rsid w:val="00AF7D2B"/>
    <w:rsid w:val="00B00A06"/>
    <w:rsid w:val="00B015C2"/>
    <w:rsid w:val="00B01DAE"/>
    <w:rsid w:val="00B01F23"/>
    <w:rsid w:val="00B022C5"/>
    <w:rsid w:val="00B03EFA"/>
    <w:rsid w:val="00B040F0"/>
    <w:rsid w:val="00B04EF0"/>
    <w:rsid w:val="00B04F4F"/>
    <w:rsid w:val="00B05B0C"/>
    <w:rsid w:val="00B05D1B"/>
    <w:rsid w:val="00B1356D"/>
    <w:rsid w:val="00B13634"/>
    <w:rsid w:val="00B14545"/>
    <w:rsid w:val="00B22323"/>
    <w:rsid w:val="00B24260"/>
    <w:rsid w:val="00B24483"/>
    <w:rsid w:val="00B26AEA"/>
    <w:rsid w:val="00B30ED9"/>
    <w:rsid w:val="00B32E5A"/>
    <w:rsid w:val="00B33544"/>
    <w:rsid w:val="00B33CD3"/>
    <w:rsid w:val="00B359A8"/>
    <w:rsid w:val="00B3609B"/>
    <w:rsid w:val="00B36487"/>
    <w:rsid w:val="00B41DBC"/>
    <w:rsid w:val="00B427D4"/>
    <w:rsid w:val="00B44523"/>
    <w:rsid w:val="00B44887"/>
    <w:rsid w:val="00B45ED4"/>
    <w:rsid w:val="00B51B7F"/>
    <w:rsid w:val="00B520C0"/>
    <w:rsid w:val="00B54E2E"/>
    <w:rsid w:val="00B561FE"/>
    <w:rsid w:val="00B575DF"/>
    <w:rsid w:val="00B57CC9"/>
    <w:rsid w:val="00B6204B"/>
    <w:rsid w:val="00B64D71"/>
    <w:rsid w:val="00B64F2C"/>
    <w:rsid w:val="00B657C9"/>
    <w:rsid w:val="00B7101F"/>
    <w:rsid w:val="00B71AAB"/>
    <w:rsid w:val="00B72371"/>
    <w:rsid w:val="00B72E35"/>
    <w:rsid w:val="00B75453"/>
    <w:rsid w:val="00B82228"/>
    <w:rsid w:val="00B826CE"/>
    <w:rsid w:val="00B82F6B"/>
    <w:rsid w:val="00B85B08"/>
    <w:rsid w:val="00B87EE3"/>
    <w:rsid w:val="00B9008E"/>
    <w:rsid w:val="00B908B3"/>
    <w:rsid w:val="00B91653"/>
    <w:rsid w:val="00B91F23"/>
    <w:rsid w:val="00B95D3F"/>
    <w:rsid w:val="00B9748C"/>
    <w:rsid w:val="00B978E5"/>
    <w:rsid w:val="00B97918"/>
    <w:rsid w:val="00BA0E0F"/>
    <w:rsid w:val="00BA1A0E"/>
    <w:rsid w:val="00BA21EF"/>
    <w:rsid w:val="00BA4730"/>
    <w:rsid w:val="00BA4E13"/>
    <w:rsid w:val="00BA69EC"/>
    <w:rsid w:val="00BA7107"/>
    <w:rsid w:val="00BA7431"/>
    <w:rsid w:val="00BA7E73"/>
    <w:rsid w:val="00BB0D83"/>
    <w:rsid w:val="00BB0FD2"/>
    <w:rsid w:val="00BB128C"/>
    <w:rsid w:val="00BB2658"/>
    <w:rsid w:val="00BB38A5"/>
    <w:rsid w:val="00BB3C69"/>
    <w:rsid w:val="00BB4285"/>
    <w:rsid w:val="00BB5686"/>
    <w:rsid w:val="00BB7999"/>
    <w:rsid w:val="00BB7CC5"/>
    <w:rsid w:val="00BC0266"/>
    <w:rsid w:val="00BC21DD"/>
    <w:rsid w:val="00BC295F"/>
    <w:rsid w:val="00BC47AB"/>
    <w:rsid w:val="00BC4C85"/>
    <w:rsid w:val="00BC562B"/>
    <w:rsid w:val="00BD12FD"/>
    <w:rsid w:val="00BD333C"/>
    <w:rsid w:val="00BD3C60"/>
    <w:rsid w:val="00BD4249"/>
    <w:rsid w:val="00BD607B"/>
    <w:rsid w:val="00BF0724"/>
    <w:rsid w:val="00BF0AC3"/>
    <w:rsid w:val="00BF2404"/>
    <w:rsid w:val="00BF28EF"/>
    <w:rsid w:val="00BF34B8"/>
    <w:rsid w:val="00BF351C"/>
    <w:rsid w:val="00BF41F5"/>
    <w:rsid w:val="00BF5337"/>
    <w:rsid w:val="00BF5D7C"/>
    <w:rsid w:val="00BF5EA5"/>
    <w:rsid w:val="00BF75C6"/>
    <w:rsid w:val="00BF775D"/>
    <w:rsid w:val="00C024D9"/>
    <w:rsid w:val="00C0361E"/>
    <w:rsid w:val="00C040F2"/>
    <w:rsid w:val="00C04657"/>
    <w:rsid w:val="00C04C03"/>
    <w:rsid w:val="00C05D19"/>
    <w:rsid w:val="00C075CC"/>
    <w:rsid w:val="00C07D50"/>
    <w:rsid w:val="00C07FE6"/>
    <w:rsid w:val="00C120A3"/>
    <w:rsid w:val="00C15F8E"/>
    <w:rsid w:val="00C16180"/>
    <w:rsid w:val="00C1742D"/>
    <w:rsid w:val="00C20694"/>
    <w:rsid w:val="00C20786"/>
    <w:rsid w:val="00C221A3"/>
    <w:rsid w:val="00C22315"/>
    <w:rsid w:val="00C22CFD"/>
    <w:rsid w:val="00C254A9"/>
    <w:rsid w:val="00C25989"/>
    <w:rsid w:val="00C27924"/>
    <w:rsid w:val="00C27CB0"/>
    <w:rsid w:val="00C27CC0"/>
    <w:rsid w:val="00C30F3B"/>
    <w:rsid w:val="00C31207"/>
    <w:rsid w:val="00C318FA"/>
    <w:rsid w:val="00C32F95"/>
    <w:rsid w:val="00C33C1F"/>
    <w:rsid w:val="00C3524C"/>
    <w:rsid w:val="00C37CB9"/>
    <w:rsid w:val="00C40C7D"/>
    <w:rsid w:val="00C41035"/>
    <w:rsid w:val="00C419BB"/>
    <w:rsid w:val="00C44262"/>
    <w:rsid w:val="00C444CB"/>
    <w:rsid w:val="00C472AF"/>
    <w:rsid w:val="00C478CE"/>
    <w:rsid w:val="00C50159"/>
    <w:rsid w:val="00C5055F"/>
    <w:rsid w:val="00C50FF9"/>
    <w:rsid w:val="00C5200F"/>
    <w:rsid w:val="00C5290F"/>
    <w:rsid w:val="00C53807"/>
    <w:rsid w:val="00C5502F"/>
    <w:rsid w:val="00C563C4"/>
    <w:rsid w:val="00C56521"/>
    <w:rsid w:val="00C56EA8"/>
    <w:rsid w:val="00C60A1E"/>
    <w:rsid w:val="00C61AF1"/>
    <w:rsid w:val="00C6206A"/>
    <w:rsid w:val="00C65524"/>
    <w:rsid w:val="00C65E2F"/>
    <w:rsid w:val="00C665E2"/>
    <w:rsid w:val="00C66D3A"/>
    <w:rsid w:val="00C6736A"/>
    <w:rsid w:val="00C676F8"/>
    <w:rsid w:val="00C7127C"/>
    <w:rsid w:val="00C722FB"/>
    <w:rsid w:val="00C728EC"/>
    <w:rsid w:val="00C85B82"/>
    <w:rsid w:val="00C868F1"/>
    <w:rsid w:val="00C86977"/>
    <w:rsid w:val="00C878BD"/>
    <w:rsid w:val="00C879D4"/>
    <w:rsid w:val="00C87DDC"/>
    <w:rsid w:val="00C904B4"/>
    <w:rsid w:val="00C91AF7"/>
    <w:rsid w:val="00C92E25"/>
    <w:rsid w:val="00C92F8E"/>
    <w:rsid w:val="00C939D5"/>
    <w:rsid w:val="00C95EAA"/>
    <w:rsid w:val="00CA0015"/>
    <w:rsid w:val="00CA13DD"/>
    <w:rsid w:val="00CA2804"/>
    <w:rsid w:val="00CA4534"/>
    <w:rsid w:val="00CA4A2F"/>
    <w:rsid w:val="00CA5353"/>
    <w:rsid w:val="00CA6402"/>
    <w:rsid w:val="00CA6893"/>
    <w:rsid w:val="00CB1127"/>
    <w:rsid w:val="00CB23FB"/>
    <w:rsid w:val="00CB3978"/>
    <w:rsid w:val="00CB3A63"/>
    <w:rsid w:val="00CB3BFF"/>
    <w:rsid w:val="00CB41D3"/>
    <w:rsid w:val="00CB66F3"/>
    <w:rsid w:val="00CB6D98"/>
    <w:rsid w:val="00CB7F27"/>
    <w:rsid w:val="00CC0171"/>
    <w:rsid w:val="00CC023C"/>
    <w:rsid w:val="00CC063A"/>
    <w:rsid w:val="00CC239B"/>
    <w:rsid w:val="00CC3343"/>
    <w:rsid w:val="00CC3440"/>
    <w:rsid w:val="00CC3C76"/>
    <w:rsid w:val="00CC3D9C"/>
    <w:rsid w:val="00CC5506"/>
    <w:rsid w:val="00CC65BF"/>
    <w:rsid w:val="00CC7692"/>
    <w:rsid w:val="00CD2F31"/>
    <w:rsid w:val="00CD45BC"/>
    <w:rsid w:val="00CD478D"/>
    <w:rsid w:val="00CE19FB"/>
    <w:rsid w:val="00CE338D"/>
    <w:rsid w:val="00CE48B6"/>
    <w:rsid w:val="00CE6EC9"/>
    <w:rsid w:val="00CE71FA"/>
    <w:rsid w:val="00CE748A"/>
    <w:rsid w:val="00CE7AE8"/>
    <w:rsid w:val="00CF07B9"/>
    <w:rsid w:val="00CF190D"/>
    <w:rsid w:val="00CF1CD7"/>
    <w:rsid w:val="00CF5113"/>
    <w:rsid w:val="00CF5718"/>
    <w:rsid w:val="00CF5937"/>
    <w:rsid w:val="00CF7983"/>
    <w:rsid w:val="00CF7B4B"/>
    <w:rsid w:val="00CF7F7B"/>
    <w:rsid w:val="00D00372"/>
    <w:rsid w:val="00D01C36"/>
    <w:rsid w:val="00D03A69"/>
    <w:rsid w:val="00D04F14"/>
    <w:rsid w:val="00D05954"/>
    <w:rsid w:val="00D067DE"/>
    <w:rsid w:val="00D06A7A"/>
    <w:rsid w:val="00D078F7"/>
    <w:rsid w:val="00D07F5C"/>
    <w:rsid w:val="00D1276F"/>
    <w:rsid w:val="00D143EC"/>
    <w:rsid w:val="00D14765"/>
    <w:rsid w:val="00D14A22"/>
    <w:rsid w:val="00D152AE"/>
    <w:rsid w:val="00D16EF3"/>
    <w:rsid w:val="00D20585"/>
    <w:rsid w:val="00D22B8E"/>
    <w:rsid w:val="00D24CC8"/>
    <w:rsid w:val="00D258EB"/>
    <w:rsid w:val="00D26675"/>
    <w:rsid w:val="00D3254B"/>
    <w:rsid w:val="00D32561"/>
    <w:rsid w:val="00D34AD5"/>
    <w:rsid w:val="00D35605"/>
    <w:rsid w:val="00D35EDD"/>
    <w:rsid w:val="00D4051C"/>
    <w:rsid w:val="00D413D3"/>
    <w:rsid w:val="00D4229E"/>
    <w:rsid w:val="00D429A2"/>
    <w:rsid w:val="00D4312A"/>
    <w:rsid w:val="00D43F23"/>
    <w:rsid w:val="00D44824"/>
    <w:rsid w:val="00D45332"/>
    <w:rsid w:val="00D46A26"/>
    <w:rsid w:val="00D470A5"/>
    <w:rsid w:val="00D479D0"/>
    <w:rsid w:val="00D512EF"/>
    <w:rsid w:val="00D5204E"/>
    <w:rsid w:val="00D548E7"/>
    <w:rsid w:val="00D55431"/>
    <w:rsid w:val="00D5589B"/>
    <w:rsid w:val="00D57254"/>
    <w:rsid w:val="00D57D78"/>
    <w:rsid w:val="00D60108"/>
    <w:rsid w:val="00D60B22"/>
    <w:rsid w:val="00D60F8F"/>
    <w:rsid w:val="00D61202"/>
    <w:rsid w:val="00D620B7"/>
    <w:rsid w:val="00D62128"/>
    <w:rsid w:val="00D626E7"/>
    <w:rsid w:val="00D65844"/>
    <w:rsid w:val="00D66B7F"/>
    <w:rsid w:val="00D70C41"/>
    <w:rsid w:val="00D72D57"/>
    <w:rsid w:val="00D73F84"/>
    <w:rsid w:val="00D7437D"/>
    <w:rsid w:val="00D7442D"/>
    <w:rsid w:val="00D74783"/>
    <w:rsid w:val="00D751B7"/>
    <w:rsid w:val="00D808BE"/>
    <w:rsid w:val="00D86096"/>
    <w:rsid w:val="00D868D7"/>
    <w:rsid w:val="00D879C7"/>
    <w:rsid w:val="00D92DB2"/>
    <w:rsid w:val="00D93251"/>
    <w:rsid w:val="00D946ED"/>
    <w:rsid w:val="00D9719B"/>
    <w:rsid w:val="00D978DC"/>
    <w:rsid w:val="00DA0B1D"/>
    <w:rsid w:val="00DA3853"/>
    <w:rsid w:val="00DA3D45"/>
    <w:rsid w:val="00DB085C"/>
    <w:rsid w:val="00DB0E03"/>
    <w:rsid w:val="00DB1574"/>
    <w:rsid w:val="00DB1CA3"/>
    <w:rsid w:val="00DB2178"/>
    <w:rsid w:val="00DB266F"/>
    <w:rsid w:val="00DB26A0"/>
    <w:rsid w:val="00DB29D5"/>
    <w:rsid w:val="00DB3470"/>
    <w:rsid w:val="00DB5B0F"/>
    <w:rsid w:val="00DC1349"/>
    <w:rsid w:val="00DC2FB2"/>
    <w:rsid w:val="00DC362D"/>
    <w:rsid w:val="00DC4AC2"/>
    <w:rsid w:val="00DC4E1D"/>
    <w:rsid w:val="00DC5065"/>
    <w:rsid w:val="00DC7810"/>
    <w:rsid w:val="00DC7C09"/>
    <w:rsid w:val="00DC7E7D"/>
    <w:rsid w:val="00DD1712"/>
    <w:rsid w:val="00DD4366"/>
    <w:rsid w:val="00DD53B5"/>
    <w:rsid w:val="00DD57DB"/>
    <w:rsid w:val="00DD6D2B"/>
    <w:rsid w:val="00DE08CB"/>
    <w:rsid w:val="00DE0DC1"/>
    <w:rsid w:val="00DE0F66"/>
    <w:rsid w:val="00DE0FA1"/>
    <w:rsid w:val="00DE17A6"/>
    <w:rsid w:val="00DE210F"/>
    <w:rsid w:val="00DE253F"/>
    <w:rsid w:val="00DE39BC"/>
    <w:rsid w:val="00DE3AB9"/>
    <w:rsid w:val="00DE3F0E"/>
    <w:rsid w:val="00DE4DD7"/>
    <w:rsid w:val="00DE6760"/>
    <w:rsid w:val="00DE68CA"/>
    <w:rsid w:val="00DE79FD"/>
    <w:rsid w:val="00DF04A8"/>
    <w:rsid w:val="00DF0838"/>
    <w:rsid w:val="00DF2877"/>
    <w:rsid w:val="00DF4538"/>
    <w:rsid w:val="00DF7EB3"/>
    <w:rsid w:val="00E00725"/>
    <w:rsid w:val="00E015DB"/>
    <w:rsid w:val="00E02A36"/>
    <w:rsid w:val="00E02B39"/>
    <w:rsid w:val="00E02BBA"/>
    <w:rsid w:val="00E040BD"/>
    <w:rsid w:val="00E04F8F"/>
    <w:rsid w:val="00E06A73"/>
    <w:rsid w:val="00E07A15"/>
    <w:rsid w:val="00E07BC5"/>
    <w:rsid w:val="00E114BA"/>
    <w:rsid w:val="00E134D4"/>
    <w:rsid w:val="00E145AC"/>
    <w:rsid w:val="00E14F7E"/>
    <w:rsid w:val="00E15FBC"/>
    <w:rsid w:val="00E21150"/>
    <w:rsid w:val="00E226F6"/>
    <w:rsid w:val="00E22F29"/>
    <w:rsid w:val="00E23D92"/>
    <w:rsid w:val="00E26654"/>
    <w:rsid w:val="00E26F64"/>
    <w:rsid w:val="00E320AF"/>
    <w:rsid w:val="00E410D9"/>
    <w:rsid w:val="00E43B01"/>
    <w:rsid w:val="00E44026"/>
    <w:rsid w:val="00E468B0"/>
    <w:rsid w:val="00E500A5"/>
    <w:rsid w:val="00E500AC"/>
    <w:rsid w:val="00E53334"/>
    <w:rsid w:val="00E61A62"/>
    <w:rsid w:val="00E634AD"/>
    <w:rsid w:val="00E635CA"/>
    <w:rsid w:val="00E63B52"/>
    <w:rsid w:val="00E64E2C"/>
    <w:rsid w:val="00E6793F"/>
    <w:rsid w:val="00E706E0"/>
    <w:rsid w:val="00E71851"/>
    <w:rsid w:val="00E718DC"/>
    <w:rsid w:val="00E71C18"/>
    <w:rsid w:val="00E71CFB"/>
    <w:rsid w:val="00E72282"/>
    <w:rsid w:val="00E73494"/>
    <w:rsid w:val="00E74D74"/>
    <w:rsid w:val="00E80D8A"/>
    <w:rsid w:val="00E828E2"/>
    <w:rsid w:val="00E8334A"/>
    <w:rsid w:val="00E85305"/>
    <w:rsid w:val="00E85752"/>
    <w:rsid w:val="00E85FF7"/>
    <w:rsid w:val="00E8736D"/>
    <w:rsid w:val="00E87637"/>
    <w:rsid w:val="00E87DE6"/>
    <w:rsid w:val="00E90239"/>
    <w:rsid w:val="00E90958"/>
    <w:rsid w:val="00E90A7A"/>
    <w:rsid w:val="00E91536"/>
    <w:rsid w:val="00E91BC8"/>
    <w:rsid w:val="00E928E8"/>
    <w:rsid w:val="00E957FC"/>
    <w:rsid w:val="00E976A1"/>
    <w:rsid w:val="00EA00CD"/>
    <w:rsid w:val="00EA2A7D"/>
    <w:rsid w:val="00EA37A6"/>
    <w:rsid w:val="00EA6B19"/>
    <w:rsid w:val="00EA7D63"/>
    <w:rsid w:val="00EB02B4"/>
    <w:rsid w:val="00EB11F8"/>
    <w:rsid w:val="00EB26BE"/>
    <w:rsid w:val="00EB48A5"/>
    <w:rsid w:val="00EB5FD8"/>
    <w:rsid w:val="00EB6310"/>
    <w:rsid w:val="00EC006B"/>
    <w:rsid w:val="00EC0A39"/>
    <w:rsid w:val="00EC40F9"/>
    <w:rsid w:val="00EC4FD0"/>
    <w:rsid w:val="00EC62EB"/>
    <w:rsid w:val="00EC658A"/>
    <w:rsid w:val="00EC78B0"/>
    <w:rsid w:val="00ED2190"/>
    <w:rsid w:val="00ED227C"/>
    <w:rsid w:val="00ED231D"/>
    <w:rsid w:val="00ED5C08"/>
    <w:rsid w:val="00ED6EC8"/>
    <w:rsid w:val="00EE0086"/>
    <w:rsid w:val="00EE0521"/>
    <w:rsid w:val="00EE64A2"/>
    <w:rsid w:val="00EE6758"/>
    <w:rsid w:val="00EF041B"/>
    <w:rsid w:val="00EF253A"/>
    <w:rsid w:val="00EF4B3E"/>
    <w:rsid w:val="00EF6541"/>
    <w:rsid w:val="00EF6A49"/>
    <w:rsid w:val="00EF6FE6"/>
    <w:rsid w:val="00EF7B9F"/>
    <w:rsid w:val="00F00915"/>
    <w:rsid w:val="00F00A28"/>
    <w:rsid w:val="00F0147F"/>
    <w:rsid w:val="00F044DD"/>
    <w:rsid w:val="00F068BD"/>
    <w:rsid w:val="00F06AFB"/>
    <w:rsid w:val="00F07DDC"/>
    <w:rsid w:val="00F12047"/>
    <w:rsid w:val="00F12655"/>
    <w:rsid w:val="00F13378"/>
    <w:rsid w:val="00F1392B"/>
    <w:rsid w:val="00F14786"/>
    <w:rsid w:val="00F14A66"/>
    <w:rsid w:val="00F15AEA"/>
    <w:rsid w:val="00F1685B"/>
    <w:rsid w:val="00F23347"/>
    <w:rsid w:val="00F2540A"/>
    <w:rsid w:val="00F26C26"/>
    <w:rsid w:val="00F30332"/>
    <w:rsid w:val="00F30EDF"/>
    <w:rsid w:val="00F347C4"/>
    <w:rsid w:val="00F35597"/>
    <w:rsid w:val="00F36788"/>
    <w:rsid w:val="00F37191"/>
    <w:rsid w:val="00F37A51"/>
    <w:rsid w:val="00F403F4"/>
    <w:rsid w:val="00F4160A"/>
    <w:rsid w:val="00F44682"/>
    <w:rsid w:val="00F44A1C"/>
    <w:rsid w:val="00F47276"/>
    <w:rsid w:val="00F506F4"/>
    <w:rsid w:val="00F50811"/>
    <w:rsid w:val="00F50F96"/>
    <w:rsid w:val="00F51238"/>
    <w:rsid w:val="00F5315E"/>
    <w:rsid w:val="00F57475"/>
    <w:rsid w:val="00F60F48"/>
    <w:rsid w:val="00F628C4"/>
    <w:rsid w:val="00F65A58"/>
    <w:rsid w:val="00F662BF"/>
    <w:rsid w:val="00F75BF6"/>
    <w:rsid w:val="00F76A5A"/>
    <w:rsid w:val="00F77AB1"/>
    <w:rsid w:val="00F8112F"/>
    <w:rsid w:val="00F82778"/>
    <w:rsid w:val="00F82E50"/>
    <w:rsid w:val="00F8359B"/>
    <w:rsid w:val="00F85822"/>
    <w:rsid w:val="00F86322"/>
    <w:rsid w:val="00F867F1"/>
    <w:rsid w:val="00F91E41"/>
    <w:rsid w:val="00F9266D"/>
    <w:rsid w:val="00F961AF"/>
    <w:rsid w:val="00F96D00"/>
    <w:rsid w:val="00F97144"/>
    <w:rsid w:val="00F97317"/>
    <w:rsid w:val="00FA0B21"/>
    <w:rsid w:val="00FA0B6C"/>
    <w:rsid w:val="00FA266F"/>
    <w:rsid w:val="00FA2EC4"/>
    <w:rsid w:val="00FB0361"/>
    <w:rsid w:val="00FB1296"/>
    <w:rsid w:val="00FB2EA5"/>
    <w:rsid w:val="00FB382F"/>
    <w:rsid w:val="00FB3DC0"/>
    <w:rsid w:val="00FB444C"/>
    <w:rsid w:val="00FB5851"/>
    <w:rsid w:val="00FB7A5B"/>
    <w:rsid w:val="00FC1804"/>
    <w:rsid w:val="00FC3AD6"/>
    <w:rsid w:val="00FC63A3"/>
    <w:rsid w:val="00FC75E7"/>
    <w:rsid w:val="00FD0AD1"/>
    <w:rsid w:val="00FD0F3F"/>
    <w:rsid w:val="00FD149B"/>
    <w:rsid w:val="00FD14BA"/>
    <w:rsid w:val="00FD2C69"/>
    <w:rsid w:val="00FD40D0"/>
    <w:rsid w:val="00FD4EA0"/>
    <w:rsid w:val="00FD52F1"/>
    <w:rsid w:val="00FD766C"/>
    <w:rsid w:val="00FD7A4F"/>
    <w:rsid w:val="00FE078A"/>
    <w:rsid w:val="00FE3CAB"/>
    <w:rsid w:val="00FE63C1"/>
    <w:rsid w:val="00FF110F"/>
    <w:rsid w:val="00FF2A02"/>
    <w:rsid w:val="00FF2A9F"/>
    <w:rsid w:val="00FF40CF"/>
    <w:rsid w:val="00FF4AE5"/>
    <w:rsid w:val="00FF7483"/>
    <w:rsid w:val="00FF7F0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1EF"/>
    <w:rPr>
      <w:rFonts w:ascii="Arial" w:hAnsi="Arial"/>
      <w:sz w:val="18"/>
    </w:rPr>
  </w:style>
  <w:style w:type="paragraph" w:styleId="Heading1">
    <w:name w:val="heading 1"/>
    <w:basedOn w:val="Normal"/>
    <w:link w:val="Heading1Char"/>
    <w:qFormat/>
    <w:rsid w:val="001E59A4"/>
    <w:pPr>
      <w:spacing w:after="150" w:line="240" w:lineRule="auto"/>
      <w:outlineLvl w:val="0"/>
    </w:pPr>
    <w:rPr>
      <w:rFonts w:eastAsia="Times New Roman" w:cs="Times New Roman"/>
      <w:b/>
      <w:bCs/>
      <w:color w:val="000000"/>
      <w:kern w:val="36"/>
      <w:sz w:val="24"/>
      <w:szCs w:val="24"/>
      <w:lang w:val="en-US" w:eastAsia="en-US"/>
    </w:rPr>
  </w:style>
  <w:style w:type="paragraph" w:styleId="Heading2">
    <w:name w:val="heading 2"/>
    <w:basedOn w:val="Normal"/>
    <w:next w:val="Normal"/>
    <w:link w:val="Heading2Char"/>
    <w:uiPriority w:val="9"/>
    <w:unhideWhenUsed/>
    <w:qFormat/>
    <w:rsid w:val="001E59A4"/>
    <w:pPr>
      <w:keepNext/>
      <w:keepLines/>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4D0486"/>
    <w:pPr>
      <w:keepNext/>
      <w:keepLines/>
      <w:spacing w:before="200" w:after="0"/>
      <w:outlineLvl w:val="2"/>
    </w:pPr>
    <w:rPr>
      <w:rFonts w:eastAsiaTheme="majorEastAsia" w:cstheme="majorBidi"/>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59A4"/>
    <w:rPr>
      <w:rFonts w:ascii="Arial" w:eastAsia="Times New Roman" w:hAnsi="Arial" w:cs="Times New Roman"/>
      <w:b/>
      <w:bCs/>
      <w:color w:val="000000"/>
      <w:kern w:val="36"/>
      <w:sz w:val="24"/>
      <w:szCs w:val="24"/>
      <w:lang w:val="en-US" w:eastAsia="en-US"/>
    </w:rPr>
  </w:style>
  <w:style w:type="character" w:customStyle="1" w:styleId="Heading2Char">
    <w:name w:val="Heading 2 Char"/>
    <w:basedOn w:val="DefaultParagraphFont"/>
    <w:link w:val="Heading2"/>
    <w:uiPriority w:val="9"/>
    <w:rsid w:val="001E59A4"/>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4D0486"/>
    <w:rPr>
      <w:rFonts w:ascii="Arial" w:eastAsiaTheme="majorEastAsia" w:hAnsi="Arial" w:cstheme="majorBidi"/>
      <w:bCs/>
      <w:sz w:val="18"/>
    </w:rPr>
  </w:style>
  <w:style w:type="paragraph" w:styleId="BalloonText">
    <w:name w:val="Balloon Text"/>
    <w:basedOn w:val="Normal"/>
    <w:link w:val="BalloonTextChar"/>
    <w:uiPriority w:val="99"/>
    <w:semiHidden/>
    <w:unhideWhenUsed/>
    <w:rsid w:val="009819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917"/>
    <w:rPr>
      <w:rFonts w:ascii="Tahoma" w:hAnsi="Tahoma" w:cs="Tahoma"/>
      <w:sz w:val="16"/>
      <w:szCs w:val="16"/>
    </w:rPr>
  </w:style>
  <w:style w:type="character" w:styleId="Emphasis">
    <w:name w:val="Emphasis"/>
    <w:basedOn w:val="DefaultParagraphFont"/>
    <w:uiPriority w:val="20"/>
    <w:qFormat/>
    <w:rsid w:val="00463212"/>
    <w:rPr>
      <w:i/>
      <w:iCs/>
    </w:rPr>
  </w:style>
  <w:style w:type="character" w:styleId="Strong">
    <w:name w:val="Strong"/>
    <w:basedOn w:val="DefaultParagraphFont"/>
    <w:uiPriority w:val="22"/>
    <w:qFormat/>
    <w:rsid w:val="00410911"/>
    <w:rPr>
      <w:b/>
      <w:bCs/>
    </w:rPr>
  </w:style>
  <w:style w:type="paragraph" w:styleId="Header">
    <w:name w:val="header"/>
    <w:basedOn w:val="Normal"/>
    <w:link w:val="HeaderChar"/>
    <w:uiPriority w:val="99"/>
    <w:unhideWhenUsed/>
    <w:rsid w:val="00BD42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249"/>
  </w:style>
  <w:style w:type="paragraph" w:styleId="Footer">
    <w:name w:val="footer"/>
    <w:basedOn w:val="Normal"/>
    <w:link w:val="FooterChar"/>
    <w:uiPriority w:val="99"/>
    <w:unhideWhenUsed/>
    <w:rsid w:val="00BD42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249"/>
  </w:style>
  <w:style w:type="character" w:styleId="Hyperlink">
    <w:name w:val="Hyperlink"/>
    <w:basedOn w:val="DefaultParagraphFont"/>
    <w:uiPriority w:val="99"/>
    <w:unhideWhenUsed/>
    <w:rsid w:val="0086348A"/>
    <w:rPr>
      <w:color w:val="0000FF"/>
      <w:u w:val="single"/>
    </w:rPr>
  </w:style>
  <w:style w:type="paragraph" w:customStyle="1" w:styleId="bodytext">
    <w:name w:val="bodytext"/>
    <w:basedOn w:val="Normal"/>
    <w:rsid w:val="00B41DB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96EA6"/>
    <w:pPr>
      <w:ind w:left="720"/>
      <w:contextualSpacing/>
    </w:pPr>
  </w:style>
  <w:style w:type="character" w:customStyle="1" w:styleId="StyleAvantGardeBkBT10pt">
    <w:name w:val="Style AvantGarde Bk BT 10 pt"/>
    <w:rsid w:val="000E4873"/>
    <w:rPr>
      <w:rFonts w:ascii="AvantGarde Bk BT" w:hAnsi="AvantGarde Bk BT"/>
      <w:sz w:val="20"/>
    </w:rPr>
  </w:style>
  <w:style w:type="table" w:styleId="TableGrid">
    <w:name w:val="Table Grid"/>
    <w:basedOn w:val="TableNormal"/>
    <w:uiPriority w:val="59"/>
    <w:rsid w:val="00851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14A0B"/>
    <w:pPr>
      <w:spacing w:before="100" w:beforeAutospacing="1" w:after="100" w:afterAutospacing="1" w:line="306" w:lineRule="atLeast"/>
    </w:pPr>
    <w:rPr>
      <w:rFonts w:eastAsia="Times New Roman" w:cs="Arial"/>
      <w:color w:val="000000"/>
      <w:sz w:val="21"/>
      <w:szCs w:val="21"/>
    </w:rPr>
  </w:style>
  <w:style w:type="paragraph" w:customStyle="1" w:styleId="Default">
    <w:name w:val="Default"/>
    <w:rsid w:val="00014A0B"/>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StyleBodyTextCondensedby04ptLinespacingExactly132">
    <w:name w:val="Style Body Text + Condensed by  0.4 pt Line spacing:  Exactly 13.2..."/>
    <w:basedOn w:val="BodyText0"/>
    <w:link w:val="StyleBodyTextCondensedby04ptLinespacingExactly132Char"/>
    <w:rsid w:val="00A22959"/>
    <w:pPr>
      <w:widowControl w:val="0"/>
      <w:spacing w:line="264" w:lineRule="exact"/>
      <w:jc w:val="both"/>
    </w:pPr>
    <w:rPr>
      <w:rFonts w:ascii="AvantGarde Bk BT" w:eastAsia="Times New Roman" w:hAnsi="AvantGarde Bk BT" w:cs="Times New Roman"/>
      <w:sz w:val="20"/>
      <w:szCs w:val="20"/>
      <w:lang w:eastAsia="en-US"/>
    </w:rPr>
  </w:style>
  <w:style w:type="paragraph" w:styleId="BodyText0">
    <w:name w:val="Body Text"/>
    <w:basedOn w:val="Normal"/>
    <w:link w:val="BodyTextChar"/>
    <w:uiPriority w:val="99"/>
    <w:semiHidden/>
    <w:unhideWhenUsed/>
    <w:rsid w:val="00A22959"/>
    <w:pPr>
      <w:spacing w:after="120"/>
    </w:pPr>
  </w:style>
  <w:style w:type="character" w:customStyle="1" w:styleId="BodyTextChar">
    <w:name w:val="Body Text Char"/>
    <w:basedOn w:val="DefaultParagraphFont"/>
    <w:link w:val="BodyText0"/>
    <w:uiPriority w:val="99"/>
    <w:semiHidden/>
    <w:rsid w:val="00A22959"/>
  </w:style>
  <w:style w:type="character" w:customStyle="1" w:styleId="StyleBodyTextCondensedby04ptLinespacingExactly132Char">
    <w:name w:val="Style Body Text + Condensed by  0.4 pt Line spacing:  Exactly 13.2... Char"/>
    <w:link w:val="StyleBodyTextCondensedby04ptLinespacingExactly132"/>
    <w:rsid w:val="00A22959"/>
    <w:rPr>
      <w:rFonts w:ascii="AvantGarde Bk BT" w:eastAsia="Times New Roman" w:hAnsi="AvantGarde Bk BT" w:cs="Times New Roman"/>
      <w:sz w:val="20"/>
      <w:szCs w:val="20"/>
      <w:lang w:eastAsia="en-US"/>
    </w:rPr>
  </w:style>
  <w:style w:type="paragraph" w:styleId="NoSpacing">
    <w:name w:val="No Spacing"/>
    <w:link w:val="NoSpacingChar"/>
    <w:uiPriority w:val="1"/>
    <w:qFormat/>
    <w:rsid w:val="00A22959"/>
    <w:pPr>
      <w:spacing w:after="0" w:line="240" w:lineRule="auto"/>
    </w:pPr>
    <w:rPr>
      <w:rFonts w:ascii="Calibri" w:eastAsia="Calibri" w:hAnsi="Calibri" w:cs="Times New Roman"/>
      <w:lang w:eastAsia="en-US"/>
    </w:rPr>
  </w:style>
  <w:style w:type="paragraph" w:styleId="Title">
    <w:name w:val="Title"/>
    <w:basedOn w:val="Normal"/>
    <w:next w:val="Normal"/>
    <w:link w:val="TitleChar"/>
    <w:uiPriority w:val="10"/>
    <w:qFormat/>
    <w:rsid w:val="000E02A7"/>
    <w:pPr>
      <w:pBdr>
        <w:bottom w:val="single" w:sz="8" w:space="4" w:color="4F81BD" w:themeColor="accent1"/>
      </w:pBdr>
      <w:spacing w:after="300" w:line="240" w:lineRule="auto"/>
      <w:contextualSpacing/>
    </w:pPr>
    <w:rPr>
      <w:rFonts w:eastAsiaTheme="majorEastAsia" w:cstheme="majorBidi"/>
      <w:b/>
      <w:spacing w:val="5"/>
      <w:kern w:val="28"/>
      <w:szCs w:val="52"/>
    </w:rPr>
  </w:style>
  <w:style w:type="character" w:customStyle="1" w:styleId="TitleChar">
    <w:name w:val="Title Char"/>
    <w:basedOn w:val="DefaultParagraphFont"/>
    <w:link w:val="Title"/>
    <w:uiPriority w:val="10"/>
    <w:rsid w:val="000E02A7"/>
    <w:rPr>
      <w:rFonts w:ascii="Arial" w:eastAsiaTheme="majorEastAsia" w:hAnsi="Arial" w:cstheme="majorBidi"/>
      <w:b/>
      <w:spacing w:val="5"/>
      <w:kern w:val="28"/>
      <w:szCs w:val="52"/>
    </w:rPr>
  </w:style>
  <w:style w:type="paragraph" w:styleId="TOCHeading">
    <w:name w:val="TOC Heading"/>
    <w:basedOn w:val="Heading1"/>
    <w:next w:val="Normal"/>
    <w:uiPriority w:val="39"/>
    <w:unhideWhenUsed/>
    <w:qFormat/>
    <w:rsid w:val="00455395"/>
    <w:pPr>
      <w:keepNext/>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455395"/>
    <w:pPr>
      <w:spacing w:after="100"/>
    </w:pPr>
  </w:style>
  <w:style w:type="paragraph" w:styleId="TOC2">
    <w:name w:val="toc 2"/>
    <w:basedOn w:val="Normal"/>
    <w:next w:val="Normal"/>
    <w:autoRedefine/>
    <w:uiPriority w:val="39"/>
    <w:unhideWhenUsed/>
    <w:rsid w:val="00455395"/>
    <w:pPr>
      <w:spacing w:after="100"/>
      <w:ind w:left="220"/>
    </w:pPr>
  </w:style>
  <w:style w:type="paragraph" w:styleId="TOC3">
    <w:name w:val="toc 3"/>
    <w:basedOn w:val="Normal"/>
    <w:next w:val="Normal"/>
    <w:autoRedefine/>
    <w:uiPriority w:val="39"/>
    <w:unhideWhenUsed/>
    <w:rsid w:val="001E59A4"/>
    <w:pPr>
      <w:tabs>
        <w:tab w:val="right" w:leader="dot" w:pos="9016"/>
      </w:tabs>
      <w:spacing w:after="100"/>
      <w:ind w:left="440"/>
    </w:pPr>
    <w:rPr>
      <w:rFonts w:eastAsia="Times New Roman"/>
      <w:noProof/>
    </w:rPr>
  </w:style>
  <w:style w:type="paragraph" w:styleId="TOC4">
    <w:name w:val="toc 4"/>
    <w:basedOn w:val="Normal"/>
    <w:next w:val="Normal"/>
    <w:autoRedefine/>
    <w:uiPriority w:val="39"/>
    <w:unhideWhenUsed/>
    <w:rsid w:val="00222B4E"/>
    <w:pPr>
      <w:spacing w:after="100"/>
      <w:ind w:left="660"/>
    </w:pPr>
    <w:rPr>
      <w:rFonts w:asciiTheme="minorHAnsi" w:hAnsiTheme="minorHAnsi"/>
      <w:sz w:val="22"/>
    </w:rPr>
  </w:style>
  <w:style w:type="paragraph" w:styleId="TOC5">
    <w:name w:val="toc 5"/>
    <w:basedOn w:val="Normal"/>
    <w:next w:val="Normal"/>
    <w:autoRedefine/>
    <w:uiPriority w:val="39"/>
    <w:unhideWhenUsed/>
    <w:rsid w:val="00222B4E"/>
    <w:pPr>
      <w:spacing w:after="100"/>
      <w:ind w:left="880"/>
    </w:pPr>
    <w:rPr>
      <w:rFonts w:asciiTheme="minorHAnsi" w:hAnsiTheme="minorHAnsi"/>
      <w:sz w:val="22"/>
    </w:rPr>
  </w:style>
  <w:style w:type="paragraph" w:styleId="TOC6">
    <w:name w:val="toc 6"/>
    <w:basedOn w:val="Normal"/>
    <w:next w:val="Normal"/>
    <w:autoRedefine/>
    <w:uiPriority w:val="39"/>
    <w:unhideWhenUsed/>
    <w:rsid w:val="00222B4E"/>
    <w:pPr>
      <w:spacing w:after="100"/>
      <w:ind w:left="1100"/>
    </w:pPr>
    <w:rPr>
      <w:rFonts w:asciiTheme="minorHAnsi" w:hAnsiTheme="minorHAnsi"/>
      <w:sz w:val="22"/>
    </w:rPr>
  </w:style>
  <w:style w:type="paragraph" w:styleId="TOC7">
    <w:name w:val="toc 7"/>
    <w:basedOn w:val="Normal"/>
    <w:next w:val="Normal"/>
    <w:autoRedefine/>
    <w:uiPriority w:val="39"/>
    <w:unhideWhenUsed/>
    <w:rsid w:val="00222B4E"/>
    <w:pPr>
      <w:spacing w:after="100"/>
      <w:ind w:left="1320"/>
    </w:pPr>
    <w:rPr>
      <w:rFonts w:asciiTheme="minorHAnsi" w:hAnsiTheme="minorHAnsi"/>
      <w:sz w:val="22"/>
    </w:rPr>
  </w:style>
  <w:style w:type="paragraph" w:styleId="TOC8">
    <w:name w:val="toc 8"/>
    <w:basedOn w:val="Normal"/>
    <w:next w:val="Normal"/>
    <w:autoRedefine/>
    <w:uiPriority w:val="39"/>
    <w:unhideWhenUsed/>
    <w:rsid w:val="00222B4E"/>
    <w:pPr>
      <w:spacing w:after="100"/>
      <w:ind w:left="1540"/>
    </w:pPr>
    <w:rPr>
      <w:rFonts w:asciiTheme="minorHAnsi" w:hAnsiTheme="minorHAnsi"/>
      <w:sz w:val="22"/>
    </w:rPr>
  </w:style>
  <w:style w:type="paragraph" w:styleId="TOC9">
    <w:name w:val="toc 9"/>
    <w:basedOn w:val="Normal"/>
    <w:next w:val="Normal"/>
    <w:autoRedefine/>
    <w:uiPriority w:val="39"/>
    <w:unhideWhenUsed/>
    <w:rsid w:val="00222B4E"/>
    <w:pPr>
      <w:spacing w:after="100"/>
      <w:ind w:left="1760"/>
    </w:pPr>
    <w:rPr>
      <w:rFonts w:asciiTheme="minorHAnsi" w:hAnsiTheme="minorHAnsi"/>
      <w:sz w:val="22"/>
    </w:rPr>
  </w:style>
  <w:style w:type="character" w:customStyle="1" w:styleId="NoSpacingChar">
    <w:name w:val="No Spacing Char"/>
    <w:basedOn w:val="DefaultParagraphFont"/>
    <w:link w:val="NoSpacing"/>
    <w:uiPriority w:val="1"/>
    <w:rsid w:val="00D620B7"/>
    <w:rPr>
      <w:rFonts w:ascii="Calibri" w:eastAsia="Calibri"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1EF"/>
    <w:rPr>
      <w:rFonts w:ascii="Arial" w:hAnsi="Arial"/>
      <w:sz w:val="18"/>
    </w:rPr>
  </w:style>
  <w:style w:type="paragraph" w:styleId="Heading1">
    <w:name w:val="heading 1"/>
    <w:basedOn w:val="Normal"/>
    <w:link w:val="Heading1Char"/>
    <w:qFormat/>
    <w:rsid w:val="001E59A4"/>
    <w:pPr>
      <w:spacing w:after="150" w:line="240" w:lineRule="auto"/>
      <w:outlineLvl w:val="0"/>
    </w:pPr>
    <w:rPr>
      <w:rFonts w:eastAsia="Times New Roman" w:cs="Times New Roman"/>
      <w:b/>
      <w:bCs/>
      <w:color w:val="000000"/>
      <w:kern w:val="36"/>
      <w:sz w:val="24"/>
      <w:szCs w:val="24"/>
      <w:lang w:val="en-US" w:eastAsia="en-US"/>
    </w:rPr>
  </w:style>
  <w:style w:type="paragraph" w:styleId="Heading2">
    <w:name w:val="heading 2"/>
    <w:basedOn w:val="Normal"/>
    <w:next w:val="Normal"/>
    <w:link w:val="Heading2Char"/>
    <w:uiPriority w:val="9"/>
    <w:unhideWhenUsed/>
    <w:qFormat/>
    <w:rsid w:val="001E59A4"/>
    <w:pPr>
      <w:keepNext/>
      <w:keepLines/>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4D0486"/>
    <w:pPr>
      <w:keepNext/>
      <w:keepLines/>
      <w:spacing w:before="200" w:after="0"/>
      <w:outlineLvl w:val="2"/>
    </w:pPr>
    <w:rPr>
      <w:rFonts w:eastAsiaTheme="majorEastAsia" w:cstheme="majorBidi"/>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59A4"/>
    <w:rPr>
      <w:rFonts w:ascii="Arial" w:eastAsia="Times New Roman" w:hAnsi="Arial" w:cs="Times New Roman"/>
      <w:b/>
      <w:bCs/>
      <w:color w:val="000000"/>
      <w:kern w:val="36"/>
      <w:sz w:val="24"/>
      <w:szCs w:val="24"/>
      <w:lang w:val="en-US" w:eastAsia="en-US"/>
    </w:rPr>
  </w:style>
  <w:style w:type="character" w:customStyle="1" w:styleId="Heading2Char">
    <w:name w:val="Heading 2 Char"/>
    <w:basedOn w:val="DefaultParagraphFont"/>
    <w:link w:val="Heading2"/>
    <w:uiPriority w:val="9"/>
    <w:rsid w:val="001E59A4"/>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4D0486"/>
    <w:rPr>
      <w:rFonts w:ascii="Arial" w:eastAsiaTheme="majorEastAsia" w:hAnsi="Arial" w:cstheme="majorBidi"/>
      <w:bCs/>
      <w:sz w:val="18"/>
    </w:rPr>
  </w:style>
  <w:style w:type="paragraph" w:styleId="BalloonText">
    <w:name w:val="Balloon Text"/>
    <w:basedOn w:val="Normal"/>
    <w:link w:val="BalloonTextChar"/>
    <w:uiPriority w:val="99"/>
    <w:semiHidden/>
    <w:unhideWhenUsed/>
    <w:rsid w:val="009819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917"/>
    <w:rPr>
      <w:rFonts w:ascii="Tahoma" w:hAnsi="Tahoma" w:cs="Tahoma"/>
      <w:sz w:val="16"/>
      <w:szCs w:val="16"/>
    </w:rPr>
  </w:style>
  <w:style w:type="character" w:styleId="Emphasis">
    <w:name w:val="Emphasis"/>
    <w:basedOn w:val="DefaultParagraphFont"/>
    <w:uiPriority w:val="20"/>
    <w:qFormat/>
    <w:rsid w:val="00463212"/>
    <w:rPr>
      <w:i/>
      <w:iCs/>
    </w:rPr>
  </w:style>
  <w:style w:type="character" w:styleId="Strong">
    <w:name w:val="Strong"/>
    <w:basedOn w:val="DefaultParagraphFont"/>
    <w:uiPriority w:val="22"/>
    <w:qFormat/>
    <w:rsid w:val="00410911"/>
    <w:rPr>
      <w:b/>
      <w:bCs/>
    </w:rPr>
  </w:style>
  <w:style w:type="paragraph" w:styleId="Header">
    <w:name w:val="header"/>
    <w:basedOn w:val="Normal"/>
    <w:link w:val="HeaderChar"/>
    <w:uiPriority w:val="99"/>
    <w:unhideWhenUsed/>
    <w:rsid w:val="00BD42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249"/>
  </w:style>
  <w:style w:type="paragraph" w:styleId="Footer">
    <w:name w:val="footer"/>
    <w:basedOn w:val="Normal"/>
    <w:link w:val="FooterChar"/>
    <w:uiPriority w:val="99"/>
    <w:unhideWhenUsed/>
    <w:rsid w:val="00BD42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249"/>
  </w:style>
  <w:style w:type="character" w:styleId="Hyperlink">
    <w:name w:val="Hyperlink"/>
    <w:basedOn w:val="DefaultParagraphFont"/>
    <w:uiPriority w:val="99"/>
    <w:unhideWhenUsed/>
    <w:rsid w:val="0086348A"/>
    <w:rPr>
      <w:color w:val="0000FF"/>
      <w:u w:val="single"/>
    </w:rPr>
  </w:style>
  <w:style w:type="paragraph" w:customStyle="1" w:styleId="bodytext">
    <w:name w:val="bodytext"/>
    <w:basedOn w:val="Normal"/>
    <w:rsid w:val="00B41DB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96EA6"/>
    <w:pPr>
      <w:ind w:left="720"/>
      <w:contextualSpacing/>
    </w:pPr>
  </w:style>
  <w:style w:type="character" w:customStyle="1" w:styleId="StyleAvantGardeBkBT10pt">
    <w:name w:val="Style AvantGarde Bk BT 10 pt"/>
    <w:rsid w:val="000E4873"/>
    <w:rPr>
      <w:rFonts w:ascii="AvantGarde Bk BT" w:hAnsi="AvantGarde Bk BT"/>
      <w:sz w:val="20"/>
    </w:rPr>
  </w:style>
  <w:style w:type="table" w:styleId="TableGrid">
    <w:name w:val="Table Grid"/>
    <w:basedOn w:val="TableNormal"/>
    <w:uiPriority w:val="59"/>
    <w:rsid w:val="00851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14A0B"/>
    <w:pPr>
      <w:spacing w:before="100" w:beforeAutospacing="1" w:after="100" w:afterAutospacing="1" w:line="306" w:lineRule="atLeast"/>
    </w:pPr>
    <w:rPr>
      <w:rFonts w:eastAsia="Times New Roman" w:cs="Arial"/>
      <w:color w:val="000000"/>
      <w:sz w:val="21"/>
      <w:szCs w:val="21"/>
    </w:rPr>
  </w:style>
  <w:style w:type="paragraph" w:customStyle="1" w:styleId="Default">
    <w:name w:val="Default"/>
    <w:rsid w:val="00014A0B"/>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StyleBodyTextCondensedby04ptLinespacingExactly132">
    <w:name w:val="Style Body Text + Condensed by  0.4 pt Line spacing:  Exactly 13.2..."/>
    <w:basedOn w:val="BodyText0"/>
    <w:link w:val="StyleBodyTextCondensedby04ptLinespacingExactly132Char"/>
    <w:rsid w:val="00A22959"/>
    <w:pPr>
      <w:widowControl w:val="0"/>
      <w:spacing w:line="264" w:lineRule="exact"/>
      <w:jc w:val="both"/>
    </w:pPr>
    <w:rPr>
      <w:rFonts w:ascii="AvantGarde Bk BT" w:eastAsia="Times New Roman" w:hAnsi="AvantGarde Bk BT" w:cs="Times New Roman"/>
      <w:sz w:val="20"/>
      <w:szCs w:val="20"/>
      <w:lang w:eastAsia="en-US"/>
    </w:rPr>
  </w:style>
  <w:style w:type="paragraph" w:styleId="BodyText0">
    <w:name w:val="Body Text"/>
    <w:basedOn w:val="Normal"/>
    <w:link w:val="BodyTextChar"/>
    <w:uiPriority w:val="99"/>
    <w:semiHidden/>
    <w:unhideWhenUsed/>
    <w:rsid w:val="00A22959"/>
    <w:pPr>
      <w:spacing w:after="120"/>
    </w:pPr>
  </w:style>
  <w:style w:type="character" w:customStyle="1" w:styleId="BodyTextChar">
    <w:name w:val="Body Text Char"/>
    <w:basedOn w:val="DefaultParagraphFont"/>
    <w:link w:val="BodyText0"/>
    <w:uiPriority w:val="99"/>
    <w:semiHidden/>
    <w:rsid w:val="00A22959"/>
  </w:style>
  <w:style w:type="character" w:customStyle="1" w:styleId="StyleBodyTextCondensedby04ptLinespacingExactly132Char">
    <w:name w:val="Style Body Text + Condensed by  0.4 pt Line spacing:  Exactly 13.2... Char"/>
    <w:link w:val="StyleBodyTextCondensedby04ptLinespacingExactly132"/>
    <w:rsid w:val="00A22959"/>
    <w:rPr>
      <w:rFonts w:ascii="AvantGarde Bk BT" w:eastAsia="Times New Roman" w:hAnsi="AvantGarde Bk BT" w:cs="Times New Roman"/>
      <w:sz w:val="20"/>
      <w:szCs w:val="20"/>
      <w:lang w:eastAsia="en-US"/>
    </w:rPr>
  </w:style>
  <w:style w:type="paragraph" w:styleId="NoSpacing">
    <w:name w:val="No Spacing"/>
    <w:link w:val="NoSpacingChar"/>
    <w:uiPriority w:val="1"/>
    <w:qFormat/>
    <w:rsid w:val="00A22959"/>
    <w:pPr>
      <w:spacing w:after="0" w:line="240" w:lineRule="auto"/>
    </w:pPr>
    <w:rPr>
      <w:rFonts w:ascii="Calibri" w:eastAsia="Calibri" w:hAnsi="Calibri" w:cs="Times New Roman"/>
      <w:lang w:eastAsia="en-US"/>
    </w:rPr>
  </w:style>
  <w:style w:type="paragraph" w:styleId="Title">
    <w:name w:val="Title"/>
    <w:basedOn w:val="Normal"/>
    <w:next w:val="Normal"/>
    <w:link w:val="TitleChar"/>
    <w:uiPriority w:val="10"/>
    <w:qFormat/>
    <w:rsid w:val="000E02A7"/>
    <w:pPr>
      <w:pBdr>
        <w:bottom w:val="single" w:sz="8" w:space="4" w:color="4F81BD" w:themeColor="accent1"/>
      </w:pBdr>
      <w:spacing w:after="300" w:line="240" w:lineRule="auto"/>
      <w:contextualSpacing/>
    </w:pPr>
    <w:rPr>
      <w:rFonts w:eastAsiaTheme="majorEastAsia" w:cstheme="majorBidi"/>
      <w:b/>
      <w:spacing w:val="5"/>
      <w:kern w:val="28"/>
      <w:szCs w:val="52"/>
    </w:rPr>
  </w:style>
  <w:style w:type="character" w:customStyle="1" w:styleId="TitleChar">
    <w:name w:val="Title Char"/>
    <w:basedOn w:val="DefaultParagraphFont"/>
    <w:link w:val="Title"/>
    <w:uiPriority w:val="10"/>
    <w:rsid w:val="000E02A7"/>
    <w:rPr>
      <w:rFonts w:ascii="Arial" w:eastAsiaTheme="majorEastAsia" w:hAnsi="Arial" w:cstheme="majorBidi"/>
      <w:b/>
      <w:spacing w:val="5"/>
      <w:kern w:val="28"/>
      <w:szCs w:val="52"/>
    </w:rPr>
  </w:style>
  <w:style w:type="paragraph" w:styleId="TOCHeading">
    <w:name w:val="TOC Heading"/>
    <w:basedOn w:val="Heading1"/>
    <w:next w:val="Normal"/>
    <w:uiPriority w:val="39"/>
    <w:unhideWhenUsed/>
    <w:qFormat/>
    <w:rsid w:val="00455395"/>
    <w:pPr>
      <w:keepNext/>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455395"/>
    <w:pPr>
      <w:spacing w:after="100"/>
    </w:pPr>
  </w:style>
  <w:style w:type="paragraph" w:styleId="TOC2">
    <w:name w:val="toc 2"/>
    <w:basedOn w:val="Normal"/>
    <w:next w:val="Normal"/>
    <w:autoRedefine/>
    <w:uiPriority w:val="39"/>
    <w:unhideWhenUsed/>
    <w:rsid w:val="00455395"/>
    <w:pPr>
      <w:spacing w:after="100"/>
      <w:ind w:left="220"/>
    </w:pPr>
  </w:style>
  <w:style w:type="paragraph" w:styleId="TOC3">
    <w:name w:val="toc 3"/>
    <w:basedOn w:val="Normal"/>
    <w:next w:val="Normal"/>
    <w:autoRedefine/>
    <w:uiPriority w:val="39"/>
    <w:unhideWhenUsed/>
    <w:rsid w:val="001E59A4"/>
    <w:pPr>
      <w:tabs>
        <w:tab w:val="right" w:leader="dot" w:pos="9016"/>
      </w:tabs>
      <w:spacing w:after="100"/>
      <w:ind w:left="440"/>
    </w:pPr>
    <w:rPr>
      <w:rFonts w:eastAsia="Times New Roman"/>
      <w:noProof/>
    </w:rPr>
  </w:style>
  <w:style w:type="paragraph" w:styleId="TOC4">
    <w:name w:val="toc 4"/>
    <w:basedOn w:val="Normal"/>
    <w:next w:val="Normal"/>
    <w:autoRedefine/>
    <w:uiPriority w:val="39"/>
    <w:unhideWhenUsed/>
    <w:rsid w:val="00222B4E"/>
    <w:pPr>
      <w:spacing w:after="100"/>
      <w:ind w:left="660"/>
    </w:pPr>
    <w:rPr>
      <w:rFonts w:asciiTheme="minorHAnsi" w:hAnsiTheme="minorHAnsi"/>
      <w:sz w:val="22"/>
    </w:rPr>
  </w:style>
  <w:style w:type="paragraph" w:styleId="TOC5">
    <w:name w:val="toc 5"/>
    <w:basedOn w:val="Normal"/>
    <w:next w:val="Normal"/>
    <w:autoRedefine/>
    <w:uiPriority w:val="39"/>
    <w:unhideWhenUsed/>
    <w:rsid w:val="00222B4E"/>
    <w:pPr>
      <w:spacing w:after="100"/>
      <w:ind w:left="880"/>
    </w:pPr>
    <w:rPr>
      <w:rFonts w:asciiTheme="minorHAnsi" w:hAnsiTheme="minorHAnsi"/>
      <w:sz w:val="22"/>
    </w:rPr>
  </w:style>
  <w:style w:type="paragraph" w:styleId="TOC6">
    <w:name w:val="toc 6"/>
    <w:basedOn w:val="Normal"/>
    <w:next w:val="Normal"/>
    <w:autoRedefine/>
    <w:uiPriority w:val="39"/>
    <w:unhideWhenUsed/>
    <w:rsid w:val="00222B4E"/>
    <w:pPr>
      <w:spacing w:after="100"/>
      <w:ind w:left="1100"/>
    </w:pPr>
    <w:rPr>
      <w:rFonts w:asciiTheme="minorHAnsi" w:hAnsiTheme="minorHAnsi"/>
      <w:sz w:val="22"/>
    </w:rPr>
  </w:style>
  <w:style w:type="paragraph" w:styleId="TOC7">
    <w:name w:val="toc 7"/>
    <w:basedOn w:val="Normal"/>
    <w:next w:val="Normal"/>
    <w:autoRedefine/>
    <w:uiPriority w:val="39"/>
    <w:unhideWhenUsed/>
    <w:rsid w:val="00222B4E"/>
    <w:pPr>
      <w:spacing w:after="100"/>
      <w:ind w:left="1320"/>
    </w:pPr>
    <w:rPr>
      <w:rFonts w:asciiTheme="minorHAnsi" w:hAnsiTheme="minorHAnsi"/>
      <w:sz w:val="22"/>
    </w:rPr>
  </w:style>
  <w:style w:type="paragraph" w:styleId="TOC8">
    <w:name w:val="toc 8"/>
    <w:basedOn w:val="Normal"/>
    <w:next w:val="Normal"/>
    <w:autoRedefine/>
    <w:uiPriority w:val="39"/>
    <w:unhideWhenUsed/>
    <w:rsid w:val="00222B4E"/>
    <w:pPr>
      <w:spacing w:after="100"/>
      <w:ind w:left="1540"/>
    </w:pPr>
    <w:rPr>
      <w:rFonts w:asciiTheme="minorHAnsi" w:hAnsiTheme="minorHAnsi"/>
      <w:sz w:val="22"/>
    </w:rPr>
  </w:style>
  <w:style w:type="paragraph" w:styleId="TOC9">
    <w:name w:val="toc 9"/>
    <w:basedOn w:val="Normal"/>
    <w:next w:val="Normal"/>
    <w:autoRedefine/>
    <w:uiPriority w:val="39"/>
    <w:unhideWhenUsed/>
    <w:rsid w:val="00222B4E"/>
    <w:pPr>
      <w:spacing w:after="100"/>
      <w:ind w:left="1760"/>
    </w:pPr>
    <w:rPr>
      <w:rFonts w:asciiTheme="minorHAnsi" w:hAnsiTheme="minorHAnsi"/>
      <w:sz w:val="22"/>
    </w:rPr>
  </w:style>
  <w:style w:type="character" w:customStyle="1" w:styleId="NoSpacingChar">
    <w:name w:val="No Spacing Char"/>
    <w:basedOn w:val="DefaultParagraphFont"/>
    <w:link w:val="NoSpacing"/>
    <w:uiPriority w:val="1"/>
    <w:rsid w:val="00D620B7"/>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95734">
      <w:bodyDiv w:val="1"/>
      <w:marLeft w:val="0"/>
      <w:marRight w:val="0"/>
      <w:marTop w:val="0"/>
      <w:marBottom w:val="0"/>
      <w:divBdr>
        <w:top w:val="none" w:sz="0" w:space="0" w:color="auto"/>
        <w:left w:val="none" w:sz="0" w:space="0" w:color="auto"/>
        <w:bottom w:val="none" w:sz="0" w:space="0" w:color="auto"/>
        <w:right w:val="none" w:sz="0" w:space="0" w:color="auto"/>
      </w:divBdr>
    </w:div>
    <w:div w:id="593982051">
      <w:bodyDiv w:val="1"/>
      <w:marLeft w:val="0"/>
      <w:marRight w:val="0"/>
      <w:marTop w:val="0"/>
      <w:marBottom w:val="0"/>
      <w:divBdr>
        <w:top w:val="none" w:sz="0" w:space="0" w:color="auto"/>
        <w:left w:val="none" w:sz="0" w:space="0" w:color="auto"/>
        <w:bottom w:val="none" w:sz="0" w:space="0" w:color="auto"/>
        <w:right w:val="none" w:sz="0" w:space="0" w:color="auto"/>
      </w:divBdr>
      <w:divsChild>
        <w:div w:id="260914491">
          <w:marLeft w:val="0"/>
          <w:marRight w:val="0"/>
          <w:marTop w:val="0"/>
          <w:marBottom w:val="0"/>
          <w:divBdr>
            <w:top w:val="none" w:sz="0" w:space="0" w:color="auto"/>
            <w:left w:val="none" w:sz="0" w:space="0" w:color="auto"/>
            <w:bottom w:val="none" w:sz="0" w:space="0" w:color="auto"/>
            <w:right w:val="none" w:sz="0" w:space="0" w:color="auto"/>
          </w:divBdr>
          <w:divsChild>
            <w:div w:id="1746103000">
              <w:marLeft w:val="0"/>
              <w:marRight w:val="0"/>
              <w:marTop w:val="0"/>
              <w:marBottom w:val="0"/>
              <w:divBdr>
                <w:top w:val="none" w:sz="0" w:space="0" w:color="auto"/>
                <w:left w:val="none" w:sz="0" w:space="0" w:color="auto"/>
                <w:bottom w:val="none" w:sz="0" w:space="0" w:color="auto"/>
                <w:right w:val="none" w:sz="0" w:space="0" w:color="auto"/>
              </w:divBdr>
              <w:divsChild>
                <w:div w:id="1356614867">
                  <w:marLeft w:val="0"/>
                  <w:marRight w:val="0"/>
                  <w:marTop w:val="0"/>
                  <w:marBottom w:val="0"/>
                  <w:divBdr>
                    <w:top w:val="none" w:sz="0" w:space="0" w:color="auto"/>
                    <w:left w:val="none" w:sz="0" w:space="0" w:color="auto"/>
                    <w:bottom w:val="none" w:sz="0" w:space="0" w:color="auto"/>
                    <w:right w:val="none" w:sz="0" w:space="0" w:color="auto"/>
                  </w:divBdr>
                  <w:divsChild>
                    <w:div w:id="1662780885">
                      <w:marLeft w:val="0"/>
                      <w:marRight w:val="0"/>
                      <w:marTop w:val="0"/>
                      <w:marBottom w:val="0"/>
                      <w:divBdr>
                        <w:top w:val="none" w:sz="0" w:space="0" w:color="auto"/>
                        <w:left w:val="none" w:sz="0" w:space="0" w:color="auto"/>
                        <w:bottom w:val="none" w:sz="0" w:space="0" w:color="auto"/>
                        <w:right w:val="none" w:sz="0" w:space="0" w:color="auto"/>
                      </w:divBdr>
                      <w:divsChild>
                        <w:div w:id="1032148450">
                          <w:marLeft w:val="0"/>
                          <w:marRight w:val="0"/>
                          <w:marTop w:val="0"/>
                          <w:marBottom w:val="0"/>
                          <w:divBdr>
                            <w:top w:val="none" w:sz="0" w:space="0" w:color="auto"/>
                            <w:left w:val="none" w:sz="0" w:space="0" w:color="auto"/>
                            <w:bottom w:val="none" w:sz="0" w:space="0" w:color="auto"/>
                            <w:right w:val="none" w:sz="0" w:space="0" w:color="auto"/>
                          </w:divBdr>
                          <w:divsChild>
                            <w:div w:id="968779745">
                              <w:marLeft w:val="0"/>
                              <w:marRight w:val="0"/>
                              <w:marTop w:val="0"/>
                              <w:marBottom w:val="0"/>
                              <w:divBdr>
                                <w:top w:val="none" w:sz="0" w:space="0" w:color="auto"/>
                                <w:left w:val="none" w:sz="0" w:space="0" w:color="auto"/>
                                <w:bottom w:val="none" w:sz="0" w:space="0" w:color="auto"/>
                                <w:right w:val="none" w:sz="0" w:space="0" w:color="auto"/>
                              </w:divBdr>
                              <w:divsChild>
                                <w:div w:id="726103967">
                                  <w:marLeft w:val="0"/>
                                  <w:marRight w:val="0"/>
                                  <w:marTop w:val="0"/>
                                  <w:marBottom w:val="0"/>
                                  <w:divBdr>
                                    <w:top w:val="none" w:sz="0" w:space="0" w:color="auto"/>
                                    <w:left w:val="none" w:sz="0" w:space="0" w:color="auto"/>
                                    <w:bottom w:val="none" w:sz="0" w:space="0" w:color="auto"/>
                                    <w:right w:val="none" w:sz="0" w:space="0" w:color="auto"/>
                                  </w:divBdr>
                                  <w:divsChild>
                                    <w:div w:id="1553343528">
                                      <w:marLeft w:val="0"/>
                                      <w:marRight w:val="0"/>
                                      <w:marTop w:val="0"/>
                                      <w:marBottom w:val="0"/>
                                      <w:divBdr>
                                        <w:top w:val="none" w:sz="0" w:space="0" w:color="auto"/>
                                        <w:left w:val="none" w:sz="0" w:space="0" w:color="auto"/>
                                        <w:bottom w:val="none" w:sz="0" w:space="0" w:color="auto"/>
                                        <w:right w:val="none" w:sz="0" w:space="0" w:color="auto"/>
                                      </w:divBdr>
                                      <w:divsChild>
                                        <w:div w:id="1529559910">
                                          <w:marLeft w:val="0"/>
                                          <w:marRight w:val="0"/>
                                          <w:marTop w:val="0"/>
                                          <w:marBottom w:val="0"/>
                                          <w:divBdr>
                                            <w:top w:val="none" w:sz="0" w:space="0" w:color="auto"/>
                                            <w:left w:val="none" w:sz="0" w:space="0" w:color="auto"/>
                                            <w:bottom w:val="none" w:sz="0" w:space="0" w:color="auto"/>
                                            <w:right w:val="none" w:sz="0" w:space="0" w:color="auto"/>
                                          </w:divBdr>
                                          <w:divsChild>
                                            <w:div w:id="1276712787">
                                              <w:marLeft w:val="0"/>
                                              <w:marRight w:val="0"/>
                                              <w:marTop w:val="0"/>
                                              <w:marBottom w:val="0"/>
                                              <w:divBdr>
                                                <w:top w:val="none" w:sz="0" w:space="0" w:color="auto"/>
                                                <w:left w:val="none" w:sz="0" w:space="0" w:color="auto"/>
                                                <w:bottom w:val="none" w:sz="0" w:space="0" w:color="auto"/>
                                                <w:right w:val="none" w:sz="0" w:space="0" w:color="auto"/>
                                              </w:divBdr>
                                              <w:divsChild>
                                                <w:div w:id="84309769">
                                                  <w:marLeft w:val="0"/>
                                                  <w:marRight w:val="0"/>
                                                  <w:marTop w:val="0"/>
                                                  <w:marBottom w:val="27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5021737">
      <w:bodyDiv w:val="1"/>
      <w:marLeft w:val="0"/>
      <w:marRight w:val="0"/>
      <w:marTop w:val="0"/>
      <w:marBottom w:val="0"/>
      <w:divBdr>
        <w:top w:val="none" w:sz="0" w:space="0" w:color="auto"/>
        <w:left w:val="none" w:sz="0" w:space="0" w:color="auto"/>
        <w:bottom w:val="none" w:sz="0" w:space="0" w:color="auto"/>
        <w:right w:val="none" w:sz="0" w:space="0" w:color="auto"/>
      </w:divBdr>
    </w:div>
    <w:div w:id="2041936145">
      <w:bodyDiv w:val="1"/>
      <w:marLeft w:val="0"/>
      <w:marRight w:val="0"/>
      <w:marTop w:val="0"/>
      <w:marBottom w:val="0"/>
      <w:divBdr>
        <w:top w:val="none" w:sz="0" w:space="0" w:color="auto"/>
        <w:left w:val="none" w:sz="0" w:space="0" w:color="auto"/>
        <w:bottom w:val="none" w:sz="0" w:space="0" w:color="auto"/>
        <w:right w:val="none" w:sz="0" w:space="0" w:color="auto"/>
      </w:divBdr>
      <w:divsChild>
        <w:div w:id="2113894468">
          <w:marLeft w:val="0"/>
          <w:marRight w:val="0"/>
          <w:marTop w:val="0"/>
          <w:marBottom w:val="0"/>
          <w:divBdr>
            <w:top w:val="none" w:sz="0" w:space="0" w:color="auto"/>
            <w:left w:val="none" w:sz="0" w:space="0" w:color="auto"/>
            <w:bottom w:val="none" w:sz="0" w:space="0" w:color="auto"/>
            <w:right w:val="none" w:sz="0" w:space="0" w:color="auto"/>
          </w:divBdr>
          <w:divsChild>
            <w:div w:id="404032719">
              <w:marLeft w:val="0"/>
              <w:marRight w:val="0"/>
              <w:marTop w:val="0"/>
              <w:marBottom w:val="0"/>
              <w:divBdr>
                <w:top w:val="none" w:sz="0" w:space="0" w:color="auto"/>
                <w:left w:val="none" w:sz="0" w:space="0" w:color="auto"/>
                <w:bottom w:val="none" w:sz="0" w:space="0" w:color="auto"/>
                <w:right w:val="none" w:sz="0" w:space="0" w:color="auto"/>
              </w:divBdr>
              <w:divsChild>
                <w:div w:id="2106723363">
                  <w:marLeft w:val="0"/>
                  <w:marRight w:val="0"/>
                  <w:marTop w:val="0"/>
                  <w:marBottom w:val="0"/>
                  <w:divBdr>
                    <w:top w:val="none" w:sz="0" w:space="0" w:color="auto"/>
                    <w:left w:val="none" w:sz="0" w:space="0" w:color="auto"/>
                    <w:bottom w:val="none" w:sz="0" w:space="0" w:color="auto"/>
                    <w:right w:val="none" w:sz="0" w:space="0" w:color="auto"/>
                  </w:divBdr>
                  <w:divsChild>
                    <w:div w:id="981155567">
                      <w:marLeft w:val="0"/>
                      <w:marRight w:val="0"/>
                      <w:marTop w:val="0"/>
                      <w:marBottom w:val="0"/>
                      <w:divBdr>
                        <w:top w:val="none" w:sz="0" w:space="0" w:color="auto"/>
                        <w:left w:val="none" w:sz="0" w:space="0" w:color="auto"/>
                        <w:bottom w:val="none" w:sz="0" w:space="0" w:color="auto"/>
                        <w:right w:val="none" w:sz="0" w:space="0" w:color="auto"/>
                      </w:divBdr>
                      <w:divsChild>
                        <w:div w:id="1910770286">
                          <w:marLeft w:val="0"/>
                          <w:marRight w:val="0"/>
                          <w:marTop w:val="0"/>
                          <w:marBottom w:val="0"/>
                          <w:divBdr>
                            <w:top w:val="none" w:sz="0" w:space="0" w:color="auto"/>
                            <w:left w:val="none" w:sz="0" w:space="0" w:color="auto"/>
                            <w:bottom w:val="none" w:sz="0" w:space="0" w:color="auto"/>
                            <w:right w:val="none" w:sz="0" w:space="0" w:color="auto"/>
                          </w:divBdr>
                          <w:divsChild>
                            <w:div w:id="1692686582">
                              <w:marLeft w:val="0"/>
                              <w:marRight w:val="0"/>
                              <w:marTop w:val="0"/>
                              <w:marBottom w:val="0"/>
                              <w:divBdr>
                                <w:top w:val="none" w:sz="0" w:space="0" w:color="auto"/>
                                <w:left w:val="none" w:sz="0" w:space="0" w:color="auto"/>
                                <w:bottom w:val="none" w:sz="0" w:space="0" w:color="auto"/>
                                <w:right w:val="none" w:sz="0" w:space="0" w:color="auto"/>
                              </w:divBdr>
                              <w:divsChild>
                                <w:div w:id="514922770">
                                  <w:marLeft w:val="0"/>
                                  <w:marRight w:val="0"/>
                                  <w:marTop w:val="0"/>
                                  <w:marBottom w:val="0"/>
                                  <w:divBdr>
                                    <w:top w:val="none" w:sz="0" w:space="0" w:color="auto"/>
                                    <w:left w:val="none" w:sz="0" w:space="0" w:color="auto"/>
                                    <w:bottom w:val="none" w:sz="0" w:space="0" w:color="auto"/>
                                    <w:right w:val="none" w:sz="0" w:space="0" w:color="auto"/>
                                  </w:divBdr>
                                  <w:divsChild>
                                    <w:div w:id="889803379">
                                      <w:marLeft w:val="0"/>
                                      <w:marRight w:val="0"/>
                                      <w:marTop w:val="0"/>
                                      <w:marBottom w:val="0"/>
                                      <w:divBdr>
                                        <w:top w:val="none" w:sz="0" w:space="0" w:color="auto"/>
                                        <w:left w:val="none" w:sz="0" w:space="0" w:color="auto"/>
                                        <w:bottom w:val="none" w:sz="0" w:space="0" w:color="auto"/>
                                        <w:right w:val="none" w:sz="0" w:space="0" w:color="auto"/>
                                      </w:divBdr>
                                      <w:divsChild>
                                        <w:div w:id="1395471655">
                                          <w:marLeft w:val="0"/>
                                          <w:marRight w:val="0"/>
                                          <w:marTop w:val="0"/>
                                          <w:marBottom w:val="0"/>
                                          <w:divBdr>
                                            <w:top w:val="none" w:sz="0" w:space="0" w:color="auto"/>
                                            <w:left w:val="none" w:sz="0" w:space="0" w:color="auto"/>
                                            <w:bottom w:val="none" w:sz="0" w:space="0" w:color="auto"/>
                                            <w:right w:val="none" w:sz="0" w:space="0" w:color="auto"/>
                                          </w:divBdr>
                                          <w:divsChild>
                                            <w:div w:id="1288194539">
                                              <w:marLeft w:val="0"/>
                                              <w:marRight w:val="0"/>
                                              <w:marTop w:val="0"/>
                                              <w:marBottom w:val="0"/>
                                              <w:divBdr>
                                                <w:top w:val="none" w:sz="0" w:space="0" w:color="auto"/>
                                                <w:left w:val="none" w:sz="0" w:space="0" w:color="auto"/>
                                                <w:bottom w:val="none" w:sz="0" w:space="0" w:color="auto"/>
                                                <w:right w:val="none" w:sz="0" w:space="0" w:color="auto"/>
                                              </w:divBdr>
                                              <w:divsChild>
                                                <w:div w:id="180097427">
                                                  <w:marLeft w:val="0"/>
                                                  <w:marRight w:val="0"/>
                                                  <w:marTop w:val="0"/>
                                                  <w:marBottom w:val="277"/>
                                                  <w:divBdr>
                                                    <w:top w:val="none" w:sz="0" w:space="0" w:color="auto"/>
                                                    <w:left w:val="none" w:sz="0" w:space="0" w:color="auto"/>
                                                    <w:bottom w:val="none" w:sz="0" w:space="0" w:color="auto"/>
                                                    <w:right w:val="none" w:sz="0" w:space="0" w:color="auto"/>
                                                  </w:divBdr>
                                                </w:div>
                                                <w:div w:id="59096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ItumelengMAT\Documents\Quartely%20Review\Q1%20economic%20overview%20report%20submit%2003-08-2017.docx" TargetMode="External"/><Relationship Id="rId18" Type="http://schemas.openxmlformats.org/officeDocument/2006/relationships/hyperlink" Target="http://www.focus-economics.com/countries/japan" TargetMode="External"/><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image" Target="media/image2.emf"/><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chart" Target="charts/chart35.xml"/><Relationship Id="rId63" Type="http://schemas.openxmlformats.org/officeDocument/2006/relationships/chart" Target="charts/chart43.xml"/><Relationship Id="rId68" Type="http://schemas.openxmlformats.org/officeDocument/2006/relationships/chart" Target="charts/chart48.xml"/><Relationship Id="rId76" Type="http://schemas.openxmlformats.org/officeDocument/2006/relationships/image" Target="media/image3.png"/><Relationship Id="rId7" Type="http://schemas.openxmlformats.org/officeDocument/2006/relationships/footnotes" Target="footnotes.xml"/><Relationship Id="rId71" Type="http://schemas.openxmlformats.org/officeDocument/2006/relationships/chart" Target="charts/chart51.xml"/><Relationship Id="rId2" Type="http://schemas.openxmlformats.org/officeDocument/2006/relationships/numbering" Target="numbering.xml"/><Relationship Id="rId16" Type="http://schemas.openxmlformats.org/officeDocument/2006/relationships/hyperlink" Target="http://www.focus-economics.com/countries/china" TargetMode="External"/><Relationship Id="rId29" Type="http://schemas.openxmlformats.org/officeDocument/2006/relationships/chart" Target="charts/chart10.xml"/><Relationship Id="rId11" Type="http://schemas.openxmlformats.org/officeDocument/2006/relationships/hyperlink" Target="file:///C:\Users\ItumelengMAT\Documents\Quartely%20Review\Q1%20economic%20overview%20report%20submit%2003-08-2017.docx" TargetMode="Externa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5.xml"/><Relationship Id="rId53" Type="http://schemas.openxmlformats.org/officeDocument/2006/relationships/chart" Target="charts/chart33.xml"/><Relationship Id="rId58" Type="http://schemas.openxmlformats.org/officeDocument/2006/relationships/chart" Target="charts/chart38.xml"/><Relationship Id="rId66" Type="http://schemas.openxmlformats.org/officeDocument/2006/relationships/chart" Target="charts/chart46.xml"/><Relationship Id="rId74" Type="http://schemas.openxmlformats.org/officeDocument/2006/relationships/chart" Target="charts/chart54.xml"/><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chart" Target="charts/chart41.xml"/><Relationship Id="rId82" Type="http://schemas.openxmlformats.org/officeDocument/2006/relationships/theme" Target="theme/theme1.xml"/><Relationship Id="rId10" Type="http://schemas.openxmlformats.org/officeDocument/2006/relationships/hyperlink" Target="file:///C:\Users\ItumelengMAT\Documents\Quartely%20Review\Q1%20economic%20overview%20report%20submit%2003-08-2017.docx" TargetMode="External"/><Relationship Id="rId19" Type="http://schemas.openxmlformats.org/officeDocument/2006/relationships/hyperlink" Target="http://www.focus-economics.com/countries/united-kingdom" TargetMode="External"/><Relationship Id="rId31" Type="http://schemas.openxmlformats.org/officeDocument/2006/relationships/chart" Target="charts/chart12.xml"/><Relationship Id="rId44" Type="http://schemas.openxmlformats.org/officeDocument/2006/relationships/chart" Target="charts/chart24.xml"/><Relationship Id="rId52" Type="http://schemas.openxmlformats.org/officeDocument/2006/relationships/chart" Target="charts/chart32.xml"/><Relationship Id="rId60" Type="http://schemas.openxmlformats.org/officeDocument/2006/relationships/chart" Target="charts/chart40.xml"/><Relationship Id="rId65" Type="http://schemas.openxmlformats.org/officeDocument/2006/relationships/chart" Target="charts/chart45.xml"/><Relationship Id="rId73" Type="http://schemas.openxmlformats.org/officeDocument/2006/relationships/chart" Target="charts/chart53.xml"/><Relationship Id="rId78" Type="http://schemas.openxmlformats.org/officeDocument/2006/relationships/header" Target="header1.xml"/><Relationship Id="rId8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Users\ItumelengMAT\Documents\Quartely%20Review\Q1%20economic%20overview%20report%20submit%2003-08-2017.docx"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chart" Target="charts/chart36.xml"/><Relationship Id="rId64" Type="http://schemas.openxmlformats.org/officeDocument/2006/relationships/chart" Target="charts/chart44.xml"/><Relationship Id="rId69" Type="http://schemas.openxmlformats.org/officeDocument/2006/relationships/chart" Target="charts/chart49.xml"/><Relationship Id="rId77" Type="http://schemas.openxmlformats.org/officeDocument/2006/relationships/hyperlink" Target="https://www.idc.co.za/images/IDC_RI_publication_External_-_Economic_Overview_16_February_2017_1.compressed_1.pdf" TargetMode="External"/><Relationship Id="rId8" Type="http://schemas.openxmlformats.org/officeDocument/2006/relationships/endnotes" Target="endnotes.xml"/><Relationship Id="rId51" Type="http://schemas.openxmlformats.org/officeDocument/2006/relationships/chart" Target="charts/chart31.xml"/><Relationship Id="rId72" Type="http://schemas.openxmlformats.org/officeDocument/2006/relationships/chart" Target="charts/chart52.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Users\ItumelengMAT\Documents\Quartely%20Review\Q1%20economic%20overview%20report%20submit%2003-08-2017.docx" TargetMode="External"/><Relationship Id="rId17" Type="http://schemas.openxmlformats.org/officeDocument/2006/relationships/hyperlink" Target="http://www.focus-economics.com/countries/united-states"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6.xml"/><Relationship Id="rId59" Type="http://schemas.openxmlformats.org/officeDocument/2006/relationships/chart" Target="charts/chart39.xml"/><Relationship Id="rId67" Type="http://schemas.openxmlformats.org/officeDocument/2006/relationships/chart" Target="charts/chart47.xml"/><Relationship Id="rId20" Type="http://schemas.openxmlformats.org/officeDocument/2006/relationships/chart" Target="charts/chart1.xml"/><Relationship Id="rId41" Type="http://schemas.openxmlformats.org/officeDocument/2006/relationships/chart" Target="charts/chart22.xml"/><Relationship Id="rId54" Type="http://schemas.openxmlformats.org/officeDocument/2006/relationships/chart" Target="charts/chart34.xml"/><Relationship Id="rId62" Type="http://schemas.openxmlformats.org/officeDocument/2006/relationships/chart" Target="charts/chart42.xml"/><Relationship Id="rId70" Type="http://schemas.openxmlformats.org/officeDocument/2006/relationships/chart" Target="charts/chart50.xml"/><Relationship Id="rId75" Type="http://schemas.openxmlformats.org/officeDocument/2006/relationships/chart" Target="charts/chart5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focus-economics.com/regions/major-economies/news/me-economic-outlook-jun-2017"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29.xml"/><Relationship Id="rId57" Type="http://schemas.openxmlformats.org/officeDocument/2006/relationships/chart" Target="charts/chart3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resentG\Documents\WORK%20FILE%202017.2018\1.%20Quarterly%20Economic%20Overview%20Reports\Q1\First%20Quarter%20Economic%20Overview%20of%20AFF.xls"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ZibeleM\Documents\agric%20employment%20graph%202017.xls" TargetMode="External"/><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ZibeleM\Documents\agric%20employment%20graph%202017.xls" TargetMode="External"/><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ZibeleM\Documents\expendi%20on%20inter,%20gross%20income%20(%20fuel,%20farm%20feed)%20Q1%202014.xls" TargetMode="External"/><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ZibeleM\Documents\Net%20farm%20Income%20%20Q1%202017.xlsm" TargetMode="External"/><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ZibeleM\Documents\expendi%20on%20inter,%20gross%20income%20(%20fuel,%20farm%20feed)%20Q1%202014.xls" TargetMode="External"/><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9.xml.rels><?xml version="1.0" encoding="UTF-8" standalone="yes"?>
<Relationships xmlns="http://schemas.openxmlformats.org/package/2006/relationships"><Relationship Id="rId1" Type="http://schemas.openxmlformats.org/officeDocument/2006/relationships/oleObject" Target="file:///C:\Users\FeziweD\Documents\STATS.%20AND%20ECON.%20ANALYSIS\ADHOCS\QUARTELY%20ECON.%20REPORTS\WHEAT%20DATA%20Q1%202017\IMPORT%20N%20EXPORT%20PRICE%20Q1%202017.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esentG\Documents\WORK%20FILE%202017.2018\1.%20Quarterly%20Economic%20Overview%20Reports\Q1\First%20Quarter%20Economic%20Overview%20of%20AFF.xls"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3.xml.rels><?xml version="1.0" encoding="UTF-8" standalone="yes"?>
<Relationships xmlns="http://schemas.openxmlformats.org/package/2006/relationships"><Relationship Id="rId1" Type="http://schemas.openxmlformats.org/officeDocument/2006/relationships/oleObject" Target="file:///C:\Users\PresentG\Documents\WORK%20FILE%202017.2018\1.%20Quarterly%20Economic%20Overview%20Reports\Q1\Present%20Sunflower%20(Q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PresentG\Documents\WORK%20FILE%202017.2018\1.%20Quarterly%20Economic%20Overview%20Reports\Q1\S&amp;D_Sunflower%20seed(Q1).xls" TargetMode="Externa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6.xml.rels><?xml version="1.0" encoding="UTF-8" standalone="yes"?>
<Relationships xmlns="http://schemas.openxmlformats.org/package/2006/relationships"><Relationship Id="rId2" Type="http://schemas.openxmlformats.org/officeDocument/2006/relationships/oleObject" Target="file:///F:\Quarterly%202017\S&amp;D_Grondbone-per-maand(First%20quarter%202017)1.xlsx" TargetMode="External"/><Relationship Id="rId1" Type="http://schemas.openxmlformats.org/officeDocument/2006/relationships/themeOverride" Target="../theme/themeOverride10.xml"/></Relationships>
</file>

<file path=word/charts/_rels/chart27.xml.rels><?xml version="1.0" encoding="UTF-8" standalone="yes"?>
<Relationships xmlns="http://schemas.openxmlformats.org/package/2006/relationships"><Relationship Id="rId2" Type="http://schemas.openxmlformats.org/officeDocument/2006/relationships/oleObject" Target="file:///F:\Quarterly%202017\S&amp;D_Grondbone-per-maand(First%20quarter%202017)1.xlsx" TargetMode="External"/><Relationship Id="rId1" Type="http://schemas.openxmlformats.org/officeDocument/2006/relationships/themeOverride" Target="../theme/themeOverride11.xml"/></Relationships>
</file>

<file path=word/charts/_rels/chart28.xml.rels><?xml version="1.0" encoding="UTF-8" standalone="yes"?>
<Relationships xmlns="http://schemas.openxmlformats.org/package/2006/relationships"><Relationship Id="rId2" Type="http://schemas.openxmlformats.org/officeDocument/2006/relationships/oleObject" Target="file:///F:\Quarterly%202017\S&amp;D_Grondbone-per-maand(First%20quarter%202017)1.xlsx" TargetMode="External"/><Relationship Id="rId1" Type="http://schemas.openxmlformats.org/officeDocument/2006/relationships/themeOverride" Target="../theme/themeOverride12.xml"/></Relationships>
</file>

<file path=word/charts/_rels/chart29.xml.rels><?xml version="1.0" encoding="UTF-8" standalone="yes"?>
<Relationships xmlns="http://schemas.openxmlformats.org/package/2006/relationships"><Relationship Id="rId2" Type="http://schemas.openxmlformats.org/officeDocument/2006/relationships/oleObject" Target="file:///F:\Quarterly%202017\STATS-SA-FOOD-prices%20(First%20quarter%202017).xlsx" TargetMode="External"/><Relationship Id="rId1" Type="http://schemas.openxmlformats.org/officeDocument/2006/relationships/themeOverride" Target="../theme/themeOverride13.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PresentG\Documents\WORK%20FILE%202017.2018\1.%20Quarterly%20Economic%20Overview%20Reports\Q1\First%20Quarter%20Economic%20Overview%20of%20AFF.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F:\Quarterly%202017\S&amp;D_Grondbone-per-maand(First%20quarter%202017)1.xlsx" TargetMode="External"/></Relationships>
</file>

<file path=word/charts/_rels/chart3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4.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5.xml"/></Relationships>
</file>

<file path=word/charts/_rels/chart3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4.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35.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36.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PresentG\Documents\WORK%20FILE%202017.2018\1.%20Quarterly%20Economic%20Overview%20Reports\Q1\First%20Quarter%20Economic%20Overview%20of%20AFF.xls" TargetMode="External"/></Relationships>
</file>

<file path=word/charts/_rels/chart40.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6.xml"/></Relationships>
</file>

<file path=word/charts/_rels/chart41.xml.rels><?xml version="1.0" encoding="UTF-8" standalone="yes"?>
<Relationships xmlns="http://schemas.openxmlformats.org/package/2006/relationships"><Relationship Id="rId1" Type="http://schemas.openxmlformats.org/officeDocument/2006/relationships/oleObject" Target="file:///F:\Quarterly%202017\Copy%20of%20Eggs%20production%20account%20%202010%20baseyear.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F:\Quarterly%202017\Exports%20&amp;%20imports%20of%20Birds%20eggs%20(in%20shell,%20fresh,%20preserved%20or%20cooked)%20First%20quarter%202017.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F:\Quarterly%202017\Milk%20Production%20and%20income%20account%20(First%20quarter%202017).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F:\Quarterly%202017\Exports%20and%20Imports%20of%20Milk%20&amp;%20cream%20(not%20concentrated%20nor%20containing%20added%20Sweetening)%20First%20quarter%202017.xls"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F:\Quarterly%202017\First%20quarter%202017%20trade%20of%20Agric,%20Forestry%20and%20Fisheries.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F:\Quarterly%202017\First%20quarter%202017%20trade%20of%20Agric,%20Forestry%20and%20Fisheries.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F:\Quarterly%202017\First%20quarter%202017%20trade%20of%20Agric,%20Forestry%20and%20Fisheries.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F:\Quarterly%202017\First%20quarter%202017%20trade%20of%20Agric,%20Forestry%20and%20Fisheries.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F:\Quarterly%202017\First%20quarter%202017%20trade%20of%20Agric,%20Forestry%20and%20Fisheries.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50.xml.rels><?xml version="1.0" encoding="UTF-8" standalone="yes"?>
<Relationships xmlns="http://schemas.openxmlformats.org/package/2006/relationships"><Relationship Id="rId1" Type="http://schemas.openxmlformats.org/officeDocument/2006/relationships/oleObject" Target="file:///F:\Quarterly%202017\First%20quarter%202017%20trade%20of%20Agric,%20Forestry%20and%20Fisheries.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F:\Quarterly%202017\First%20quarter%202017%20trade%20of%20Agric,%20Forestry%20and%20Fisheries.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F:\Quarterly%202017\First%20quarter%202017%20trade%20of%20Agric,%20Forestry%20and%20Fisheries.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F:\Quarterly%202017\First%20quarter%202017%20trade%20of%20Agric,%20Forestry%20and%20Fisheries.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F:\Quarterly%202017\First%20quarter%202017%20trade%20of%20Agric,%20Forestry%20and%20Fisheries.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F:\Quarterly%202017\First%20quarter%202017%20trade%20of%20Agric,%20Forestry%20and%20Fisheries.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ZibeleM\Documents\agric%20employment%20graph%202016.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'Real GDP Q1 2017'!$N$4</c:f>
              <c:strCache>
                <c:ptCount val="1"/>
                <c:pt idx="0">
                  <c:v>2016/Q1</c:v>
                </c:pt>
              </c:strCache>
            </c:strRef>
          </c:tx>
          <c:spPr>
            <a:solidFill>
              <a:srgbClr val="005D28"/>
            </a:solidFill>
          </c:spPr>
          <c:invertIfNegative val="0"/>
          <c:cat>
            <c:strRef>
              <c:f>'Real GDP Q1 2017'!$A$5:$A$11</c:f>
              <c:strCache>
                <c:ptCount val="7"/>
                <c:pt idx="0">
                  <c:v>Canada </c:v>
                </c:pt>
                <c:pt idx="1">
                  <c:v>France</c:v>
                </c:pt>
                <c:pt idx="2">
                  <c:v>Germany</c:v>
                </c:pt>
                <c:pt idx="3">
                  <c:v>Italy</c:v>
                </c:pt>
                <c:pt idx="4">
                  <c:v>Japan</c:v>
                </c:pt>
                <c:pt idx="5">
                  <c:v>United Kingdom</c:v>
                </c:pt>
                <c:pt idx="6">
                  <c:v>United States</c:v>
                </c:pt>
              </c:strCache>
            </c:strRef>
          </c:cat>
          <c:val>
            <c:numRef>
              <c:f>'Real GDP Q1 2017'!$N$5:$N$11</c:f>
              <c:numCache>
                <c:formatCode>#,##0.0_ ;\-#,##0.0\ </c:formatCode>
                <c:ptCount val="7"/>
                <c:pt idx="0">
                  <c:v>1.141332</c:v>
                </c:pt>
                <c:pt idx="1">
                  <c:v>1.348271</c:v>
                </c:pt>
                <c:pt idx="2">
                  <c:v>1.6136550000000001</c:v>
                </c:pt>
                <c:pt idx="3">
                  <c:v>0.951596</c:v>
                </c:pt>
                <c:pt idx="4">
                  <c:v>2.293800000000001E-2</c:v>
                </c:pt>
                <c:pt idx="5">
                  <c:v>2.0053350000000001</c:v>
                </c:pt>
                <c:pt idx="6" formatCode="0.0">
                  <c:v>1.6</c:v>
                </c:pt>
              </c:numCache>
            </c:numRef>
          </c:val>
        </c:ser>
        <c:ser>
          <c:idx val="1"/>
          <c:order val="1"/>
          <c:tx>
            <c:strRef>
              <c:f>'Real GDP Q1 2017'!$R$4</c:f>
              <c:strCache>
                <c:ptCount val="1"/>
                <c:pt idx="0">
                  <c:v>2017/Q1</c:v>
                </c:pt>
              </c:strCache>
            </c:strRef>
          </c:tx>
          <c:spPr>
            <a:solidFill>
              <a:srgbClr val="D8A851"/>
            </a:solidFill>
          </c:spPr>
          <c:invertIfNegative val="0"/>
          <c:cat>
            <c:strRef>
              <c:f>'Real GDP Q1 2017'!$A$5:$A$11</c:f>
              <c:strCache>
                <c:ptCount val="7"/>
                <c:pt idx="0">
                  <c:v>Canada </c:v>
                </c:pt>
                <c:pt idx="1">
                  <c:v>France</c:v>
                </c:pt>
                <c:pt idx="2">
                  <c:v>Germany</c:v>
                </c:pt>
                <c:pt idx="3">
                  <c:v>Italy</c:v>
                </c:pt>
                <c:pt idx="4">
                  <c:v>Japan</c:v>
                </c:pt>
                <c:pt idx="5">
                  <c:v>United Kingdom</c:v>
                </c:pt>
                <c:pt idx="6">
                  <c:v>United States</c:v>
                </c:pt>
              </c:strCache>
            </c:strRef>
          </c:cat>
          <c:val>
            <c:numRef>
              <c:f>'Real GDP Q1 2017'!$R$5:$R$11</c:f>
              <c:numCache>
                <c:formatCode>General</c:formatCode>
                <c:ptCount val="7"/>
                <c:pt idx="0">
                  <c:v>0.9</c:v>
                </c:pt>
                <c:pt idx="1">
                  <c:v>0.4</c:v>
                </c:pt>
                <c:pt idx="2">
                  <c:v>0.60000000000000053</c:v>
                </c:pt>
                <c:pt idx="3">
                  <c:v>0.4</c:v>
                </c:pt>
                <c:pt idx="4">
                  <c:v>0.30000000000000027</c:v>
                </c:pt>
                <c:pt idx="5">
                  <c:v>0.2</c:v>
                </c:pt>
                <c:pt idx="6">
                  <c:v>0.30000000000000027</c:v>
                </c:pt>
              </c:numCache>
            </c:numRef>
          </c:val>
        </c:ser>
        <c:dLbls>
          <c:showLegendKey val="0"/>
          <c:showVal val="0"/>
          <c:showCatName val="0"/>
          <c:showSerName val="0"/>
          <c:showPercent val="0"/>
          <c:showBubbleSize val="0"/>
        </c:dLbls>
        <c:gapWidth val="150"/>
        <c:axId val="550840192"/>
        <c:axId val="550841728"/>
      </c:barChart>
      <c:catAx>
        <c:axId val="55084019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50841728"/>
        <c:crosses val="autoZero"/>
        <c:auto val="1"/>
        <c:lblAlgn val="ctr"/>
        <c:lblOffset val="100"/>
        <c:noMultiLvlLbl val="0"/>
      </c:catAx>
      <c:valAx>
        <c:axId val="550841728"/>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ZA"/>
                  <a:t>Rate (%)</a:t>
                </a:r>
              </a:p>
            </c:rich>
          </c:tx>
          <c:overlay val="0"/>
        </c:title>
        <c:numFmt formatCode="#,##0.0_ ;\-#,##0.0\ "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50840192"/>
        <c:crosses val="autoZero"/>
        <c:crossBetween val="between"/>
      </c:valAx>
    </c:plotArea>
    <c:legend>
      <c:legendPos val="b"/>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chemeClr val="accent3">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Sheet1!$D$42</c:f>
              <c:strCache>
                <c:ptCount val="1"/>
                <c:pt idx="0">
                  <c:v>2016 Q4</c:v>
                </c:pt>
              </c:strCache>
            </c:strRef>
          </c:tx>
          <c:spPr>
            <a:solidFill>
              <a:srgbClr val="D8A851"/>
            </a:solidFill>
            <a:scene3d>
              <a:camera prst="orthographicFront"/>
              <a:lightRig rig="threePt" dir="t">
                <a:rot lat="0" lon="0" rev="1200000"/>
              </a:lightRig>
            </a:scene3d>
            <a:sp3d>
              <a:bevelT w="63500" h="25400"/>
            </a:sp3d>
          </c:spPr>
          <c:invertIfNegative val="0"/>
          <c:cat>
            <c:strRef>
              <c:f>Sheet1!$C$43:$C$51</c:f>
              <c:strCache>
                <c:ptCount val="9"/>
                <c:pt idx="0">
                  <c:v>Western cape</c:v>
                </c:pt>
                <c:pt idx="1">
                  <c:v>Eastern cape</c:v>
                </c:pt>
                <c:pt idx="2">
                  <c:v>Northern cape</c:v>
                </c:pt>
                <c:pt idx="3">
                  <c:v>Free state</c:v>
                </c:pt>
                <c:pt idx="4">
                  <c:v>KwaZulu-Natal</c:v>
                </c:pt>
                <c:pt idx="5">
                  <c:v>North west</c:v>
                </c:pt>
                <c:pt idx="6">
                  <c:v>Gauteng</c:v>
                </c:pt>
                <c:pt idx="7">
                  <c:v>Mpumalanga</c:v>
                </c:pt>
                <c:pt idx="8">
                  <c:v>Limpopo</c:v>
                </c:pt>
              </c:strCache>
            </c:strRef>
          </c:cat>
          <c:val>
            <c:numRef>
              <c:f>Sheet1!$D$43:$D$51</c:f>
              <c:numCache>
                <c:formatCode>General</c:formatCode>
                <c:ptCount val="9"/>
                <c:pt idx="0">
                  <c:v>250</c:v>
                </c:pt>
                <c:pt idx="1">
                  <c:v>88</c:v>
                </c:pt>
                <c:pt idx="2">
                  <c:v>53</c:v>
                </c:pt>
                <c:pt idx="3">
                  <c:v>65</c:v>
                </c:pt>
                <c:pt idx="4">
                  <c:v>146</c:v>
                </c:pt>
                <c:pt idx="5">
                  <c:v>55</c:v>
                </c:pt>
                <c:pt idx="6">
                  <c:v>36</c:v>
                </c:pt>
                <c:pt idx="7">
                  <c:v>88</c:v>
                </c:pt>
                <c:pt idx="8">
                  <c:v>139</c:v>
                </c:pt>
              </c:numCache>
            </c:numRef>
          </c:val>
        </c:ser>
        <c:ser>
          <c:idx val="1"/>
          <c:order val="1"/>
          <c:tx>
            <c:strRef>
              <c:f>Sheet1!$E$42</c:f>
              <c:strCache>
                <c:ptCount val="1"/>
                <c:pt idx="0">
                  <c:v>2017 Q1</c:v>
                </c:pt>
              </c:strCache>
            </c:strRef>
          </c:tx>
          <c:spPr>
            <a:solidFill>
              <a:srgbClr val="005D28"/>
            </a:solidFill>
          </c:spPr>
          <c:invertIfNegative val="0"/>
          <c:cat>
            <c:strRef>
              <c:f>Sheet1!$C$43:$C$51</c:f>
              <c:strCache>
                <c:ptCount val="9"/>
                <c:pt idx="0">
                  <c:v>Western cape</c:v>
                </c:pt>
                <c:pt idx="1">
                  <c:v>Eastern cape</c:v>
                </c:pt>
                <c:pt idx="2">
                  <c:v>Northern cape</c:v>
                </c:pt>
                <c:pt idx="3">
                  <c:v>Free state</c:v>
                </c:pt>
                <c:pt idx="4">
                  <c:v>KwaZulu-Natal</c:v>
                </c:pt>
                <c:pt idx="5">
                  <c:v>North west</c:v>
                </c:pt>
                <c:pt idx="6">
                  <c:v>Gauteng</c:v>
                </c:pt>
                <c:pt idx="7">
                  <c:v>Mpumalanga</c:v>
                </c:pt>
                <c:pt idx="8">
                  <c:v>Limpopo</c:v>
                </c:pt>
              </c:strCache>
            </c:strRef>
          </c:cat>
          <c:val>
            <c:numRef>
              <c:f>Sheet1!$E$43:$E$51</c:f>
              <c:numCache>
                <c:formatCode>General</c:formatCode>
                <c:ptCount val="9"/>
                <c:pt idx="0">
                  <c:v>215</c:v>
                </c:pt>
                <c:pt idx="1">
                  <c:v>87</c:v>
                </c:pt>
                <c:pt idx="2">
                  <c:v>47</c:v>
                </c:pt>
                <c:pt idx="3">
                  <c:v>70</c:v>
                </c:pt>
                <c:pt idx="4">
                  <c:v>141</c:v>
                </c:pt>
                <c:pt idx="5">
                  <c:v>50</c:v>
                </c:pt>
                <c:pt idx="6">
                  <c:v>36</c:v>
                </c:pt>
                <c:pt idx="7">
                  <c:v>89</c:v>
                </c:pt>
                <c:pt idx="8">
                  <c:v>140</c:v>
                </c:pt>
              </c:numCache>
            </c:numRef>
          </c:val>
        </c:ser>
        <c:dLbls>
          <c:showLegendKey val="0"/>
          <c:showVal val="0"/>
          <c:showCatName val="0"/>
          <c:showSerName val="0"/>
          <c:showPercent val="0"/>
          <c:showBubbleSize val="0"/>
        </c:dLbls>
        <c:gapWidth val="150"/>
        <c:axId val="554075648"/>
        <c:axId val="554077184"/>
      </c:barChart>
      <c:catAx>
        <c:axId val="554075648"/>
        <c:scaling>
          <c:orientation val="minMax"/>
        </c:scaling>
        <c:delete val="0"/>
        <c:axPos val="b"/>
        <c:numFmt formatCode="General" sourceLinked="1"/>
        <c:majorTickMark val="out"/>
        <c:minorTickMark val="none"/>
        <c:tickLblPos val="nextTo"/>
        <c:spPr>
          <a:solidFill>
            <a:srgbClr val="9BBB59">
              <a:lumMod val="20000"/>
              <a:lumOff val="80000"/>
            </a:srgbClr>
          </a:solidFill>
        </c:spPr>
        <c:txPr>
          <a:bodyPr/>
          <a:lstStyle/>
          <a:p>
            <a:pPr>
              <a:defRPr baseline="0">
                <a:solidFill>
                  <a:schemeClr val="tx1"/>
                </a:solidFill>
              </a:defRPr>
            </a:pPr>
            <a:endParaRPr lang="en-US"/>
          </a:p>
        </c:txPr>
        <c:crossAx val="554077184"/>
        <c:crosses val="autoZero"/>
        <c:auto val="1"/>
        <c:lblAlgn val="ctr"/>
        <c:lblOffset val="100"/>
        <c:noMultiLvlLbl val="0"/>
      </c:catAx>
      <c:valAx>
        <c:axId val="554077184"/>
        <c:scaling>
          <c:orientation val="minMax"/>
        </c:scaling>
        <c:delete val="0"/>
        <c:axPos val="l"/>
        <c:majorGridlines/>
        <c:title>
          <c:tx>
            <c:rich>
              <a:bodyPr rot="-5400000" vert="horz"/>
              <a:lstStyle/>
              <a:p>
                <a:pPr>
                  <a:defRPr b="0" baseline="0">
                    <a:solidFill>
                      <a:schemeClr val="tx1"/>
                    </a:solidFill>
                  </a:defRPr>
                </a:pPr>
                <a:r>
                  <a:rPr lang="en-US" b="0" baseline="0">
                    <a:solidFill>
                      <a:schemeClr val="tx1"/>
                    </a:solidFill>
                  </a:rPr>
                  <a:t>Thousand</a:t>
                </a:r>
              </a:p>
            </c:rich>
          </c:tx>
          <c:layout>
            <c:manualLayout>
              <c:xMode val="edge"/>
              <c:yMode val="edge"/>
              <c:x val="1.1111111111111125E-2"/>
              <c:y val="0.26586869349664743"/>
            </c:manualLayout>
          </c:layout>
          <c:overlay val="0"/>
        </c:title>
        <c:numFmt formatCode="General" sourceLinked="1"/>
        <c:majorTickMark val="out"/>
        <c:minorTickMark val="none"/>
        <c:tickLblPos val="nextTo"/>
        <c:spPr>
          <a:solidFill>
            <a:srgbClr val="9BBB59">
              <a:lumMod val="20000"/>
              <a:lumOff val="80000"/>
            </a:srgbClr>
          </a:solidFill>
        </c:spPr>
        <c:txPr>
          <a:bodyPr/>
          <a:lstStyle/>
          <a:p>
            <a:pPr>
              <a:defRPr baseline="0">
                <a:solidFill>
                  <a:sysClr val="windowText" lastClr="000000"/>
                </a:solidFill>
              </a:defRPr>
            </a:pPr>
            <a:endParaRPr lang="en-US"/>
          </a:p>
        </c:txPr>
        <c:crossAx val="554075648"/>
        <c:crosses val="autoZero"/>
        <c:crossBetween val="between"/>
      </c:valAx>
      <c:spPr>
        <a:solidFill>
          <a:schemeClr val="bg1"/>
        </a:solidFill>
      </c:spPr>
    </c:plotArea>
    <c:legend>
      <c:legendPos val="b"/>
      <c:overlay val="0"/>
      <c:txPr>
        <a:bodyPr/>
        <a:lstStyle/>
        <a:p>
          <a:pPr>
            <a:defRPr baseline="0">
              <a:solidFill>
                <a:schemeClr val="tx1"/>
              </a:solidFill>
            </a:defRPr>
          </a:pPr>
          <a:endParaRPr lang="en-US"/>
        </a:p>
      </c:txPr>
    </c:legend>
    <c:plotVisOnly val="1"/>
    <c:dispBlanksAs val="gap"/>
    <c:showDLblsOverMax val="0"/>
  </c:chart>
  <c:spPr>
    <a:solidFill>
      <a:schemeClr val="accent3">
        <a:lumMod val="20000"/>
        <a:lumOff val="80000"/>
      </a:schemeClr>
    </a:solidFill>
    <a:ln w="22225">
      <a:solidFill>
        <a:schemeClr val="accent3">
          <a:lumMod val="60000"/>
          <a:lumOff val="40000"/>
        </a:schemeClr>
      </a:solid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30796150481188"/>
          <c:y val="3.2882035578886061E-2"/>
          <c:w val="0.82446981627296589"/>
          <c:h val="0.54333479148439778"/>
        </c:manualLayout>
      </c:layout>
      <c:barChart>
        <c:barDir val="col"/>
        <c:grouping val="clustered"/>
        <c:varyColors val="0"/>
        <c:ser>
          <c:idx val="0"/>
          <c:order val="0"/>
          <c:tx>
            <c:strRef>
              <c:f>Sheet1!$E$61</c:f>
              <c:strCache>
                <c:ptCount val="1"/>
                <c:pt idx="0">
                  <c:v>2016 Q4</c:v>
                </c:pt>
              </c:strCache>
            </c:strRef>
          </c:tx>
          <c:spPr>
            <a:solidFill>
              <a:srgbClr val="D8A851"/>
            </a:solidFill>
          </c:spPr>
          <c:invertIfNegative val="0"/>
          <c:cat>
            <c:strRef>
              <c:f>Sheet1!$D$62:$D$70</c:f>
              <c:strCache>
                <c:ptCount val="9"/>
                <c:pt idx="0">
                  <c:v>Western cape</c:v>
                </c:pt>
                <c:pt idx="1">
                  <c:v>Eastern cape</c:v>
                </c:pt>
                <c:pt idx="2">
                  <c:v>Northern cape</c:v>
                </c:pt>
                <c:pt idx="3">
                  <c:v>Free state</c:v>
                </c:pt>
                <c:pt idx="4">
                  <c:v>KwaZulu-Natal</c:v>
                </c:pt>
                <c:pt idx="5">
                  <c:v>North west</c:v>
                </c:pt>
                <c:pt idx="6">
                  <c:v>Gauteng</c:v>
                </c:pt>
                <c:pt idx="7">
                  <c:v>Mpumalanga</c:v>
                </c:pt>
                <c:pt idx="8">
                  <c:v>Limpopo</c:v>
                </c:pt>
              </c:strCache>
            </c:strRef>
          </c:cat>
          <c:val>
            <c:numRef>
              <c:f>Sheet1!$E$62:$E$70</c:f>
              <c:numCache>
                <c:formatCode>General</c:formatCode>
                <c:ptCount val="9"/>
                <c:pt idx="0">
                  <c:v>4</c:v>
                </c:pt>
                <c:pt idx="1">
                  <c:v>467</c:v>
                </c:pt>
                <c:pt idx="2">
                  <c:v>18</c:v>
                </c:pt>
                <c:pt idx="3">
                  <c:v>95</c:v>
                </c:pt>
                <c:pt idx="4">
                  <c:v>887</c:v>
                </c:pt>
                <c:pt idx="5">
                  <c:v>61</c:v>
                </c:pt>
                <c:pt idx="6">
                  <c:v>23</c:v>
                </c:pt>
                <c:pt idx="7">
                  <c:v>137</c:v>
                </c:pt>
                <c:pt idx="8">
                  <c:v>193</c:v>
                </c:pt>
              </c:numCache>
            </c:numRef>
          </c:val>
        </c:ser>
        <c:ser>
          <c:idx val="1"/>
          <c:order val="1"/>
          <c:tx>
            <c:strRef>
              <c:f>Sheet1!$F$61</c:f>
              <c:strCache>
                <c:ptCount val="1"/>
                <c:pt idx="0">
                  <c:v>2017 Q1</c:v>
                </c:pt>
              </c:strCache>
            </c:strRef>
          </c:tx>
          <c:spPr>
            <a:solidFill>
              <a:srgbClr val="005D28"/>
            </a:solidFill>
          </c:spPr>
          <c:invertIfNegative val="0"/>
          <c:cat>
            <c:strRef>
              <c:f>Sheet1!$D$62:$D$70</c:f>
              <c:strCache>
                <c:ptCount val="9"/>
                <c:pt idx="0">
                  <c:v>Western cape</c:v>
                </c:pt>
                <c:pt idx="1">
                  <c:v>Eastern cape</c:v>
                </c:pt>
                <c:pt idx="2">
                  <c:v>Northern cape</c:v>
                </c:pt>
                <c:pt idx="3">
                  <c:v>Free state</c:v>
                </c:pt>
                <c:pt idx="4">
                  <c:v>KwaZulu-Natal</c:v>
                </c:pt>
                <c:pt idx="5">
                  <c:v>North west</c:v>
                </c:pt>
                <c:pt idx="6">
                  <c:v>Gauteng</c:v>
                </c:pt>
                <c:pt idx="7">
                  <c:v>Mpumalanga</c:v>
                </c:pt>
                <c:pt idx="8">
                  <c:v>Limpopo</c:v>
                </c:pt>
              </c:strCache>
            </c:strRef>
          </c:cat>
          <c:val>
            <c:numRef>
              <c:f>Sheet1!$F$62:$F$70</c:f>
              <c:numCache>
                <c:formatCode>General</c:formatCode>
                <c:ptCount val="9"/>
                <c:pt idx="0">
                  <c:v>3</c:v>
                </c:pt>
                <c:pt idx="1">
                  <c:v>553</c:v>
                </c:pt>
                <c:pt idx="2">
                  <c:v>23</c:v>
                </c:pt>
                <c:pt idx="3">
                  <c:v>97</c:v>
                </c:pt>
                <c:pt idx="4">
                  <c:v>880</c:v>
                </c:pt>
                <c:pt idx="5">
                  <c:v>57</c:v>
                </c:pt>
                <c:pt idx="6">
                  <c:v>21</c:v>
                </c:pt>
                <c:pt idx="7">
                  <c:v>179</c:v>
                </c:pt>
                <c:pt idx="8">
                  <c:v>271</c:v>
                </c:pt>
              </c:numCache>
            </c:numRef>
          </c:val>
        </c:ser>
        <c:dLbls>
          <c:showLegendKey val="0"/>
          <c:showVal val="0"/>
          <c:showCatName val="0"/>
          <c:showSerName val="0"/>
          <c:showPercent val="0"/>
          <c:showBubbleSize val="0"/>
        </c:dLbls>
        <c:gapWidth val="150"/>
        <c:axId val="554119168"/>
        <c:axId val="554120704"/>
      </c:barChart>
      <c:catAx>
        <c:axId val="554119168"/>
        <c:scaling>
          <c:orientation val="minMax"/>
        </c:scaling>
        <c:delete val="0"/>
        <c:axPos val="b"/>
        <c:numFmt formatCode="General" sourceLinked="1"/>
        <c:majorTickMark val="out"/>
        <c:minorTickMark val="none"/>
        <c:tickLblPos val="nextTo"/>
        <c:txPr>
          <a:bodyPr/>
          <a:lstStyle/>
          <a:p>
            <a:pPr>
              <a:defRPr baseline="0">
                <a:solidFill>
                  <a:schemeClr val="tx1"/>
                </a:solidFill>
              </a:defRPr>
            </a:pPr>
            <a:endParaRPr lang="en-US"/>
          </a:p>
        </c:txPr>
        <c:crossAx val="554120704"/>
        <c:crosses val="autoZero"/>
        <c:auto val="1"/>
        <c:lblAlgn val="ctr"/>
        <c:lblOffset val="100"/>
        <c:noMultiLvlLbl val="0"/>
      </c:catAx>
      <c:valAx>
        <c:axId val="554120704"/>
        <c:scaling>
          <c:orientation val="minMax"/>
        </c:scaling>
        <c:delete val="0"/>
        <c:axPos val="l"/>
        <c:majorGridlines/>
        <c:title>
          <c:tx>
            <c:rich>
              <a:bodyPr rot="-5400000" vert="horz"/>
              <a:lstStyle/>
              <a:p>
                <a:pPr>
                  <a:defRPr b="0" baseline="0">
                    <a:solidFill>
                      <a:schemeClr val="tx1"/>
                    </a:solidFill>
                  </a:defRPr>
                </a:pPr>
                <a:r>
                  <a:rPr lang="en-US" b="0" baseline="0">
                    <a:solidFill>
                      <a:schemeClr val="tx1"/>
                    </a:solidFill>
                  </a:rPr>
                  <a:t>Thousand</a:t>
                </a:r>
              </a:p>
            </c:rich>
          </c:tx>
          <c:overlay val="0"/>
        </c:title>
        <c:numFmt formatCode="General" sourceLinked="1"/>
        <c:majorTickMark val="out"/>
        <c:minorTickMark val="none"/>
        <c:tickLblPos val="nextTo"/>
        <c:txPr>
          <a:bodyPr/>
          <a:lstStyle/>
          <a:p>
            <a:pPr>
              <a:defRPr baseline="0">
                <a:solidFill>
                  <a:schemeClr val="tx1"/>
                </a:solidFill>
              </a:defRPr>
            </a:pPr>
            <a:endParaRPr lang="en-US"/>
          </a:p>
        </c:txPr>
        <c:crossAx val="554119168"/>
        <c:crosses val="autoZero"/>
        <c:crossBetween val="between"/>
      </c:valAx>
      <c:spPr>
        <a:solidFill>
          <a:schemeClr val="bg1"/>
        </a:solidFill>
      </c:spPr>
    </c:plotArea>
    <c:legend>
      <c:legendPos val="b"/>
      <c:overlay val="0"/>
      <c:txPr>
        <a:bodyPr/>
        <a:lstStyle/>
        <a:p>
          <a:pPr>
            <a:defRPr baseline="0">
              <a:solidFill>
                <a:schemeClr val="tx1"/>
              </a:solidFill>
            </a:defRPr>
          </a:pPr>
          <a:endParaRPr lang="en-US"/>
        </a:p>
      </c:txPr>
    </c:legend>
    <c:plotVisOnly val="1"/>
    <c:dispBlanksAs val="gap"/>
    <c:showDLblsOverMax val="0"/>
  </c:chart>
  <c:spPr>
    <a:solidFill>
      <a:schemeClr val="accent3">
        <a:lumMod val="20000"/>
        <a:lumOff val="80000"/>
      </a:schemeClr>
    </a:solidFill>
    <a:ln w="22225">
      <a:solidFill>
        <a:schemeClr val="accent3">
          <a:lumMod val="60000"/>
          <a:lumOff val="40000"/>
        </a:schemeClr>
      </a:solid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Sheet1!$D$94</c:f>
              <c:strCache>
                <c:ptCount val="1"/>
                <c:pt idx="0">
                  <c:v>Field crops</c:v>
                </c:pt>
              </c:strCache>
            </c:strRef>
          </c:tx>
          <c:spPr>
            <a:solidFill>
              <a:srgbClr val="D8A851"/>
            </a:solidFill>
            <a:ln>
              <a:solidFill>
                <a:schemeClr val="accent3">
                  <a:lumMod val="60000"/>
                  <a:lumOff val="40000"/>
                </a:schemeClr>
              </a:solidFill>
            </a:ln>
          </c:spPr>
          <c:invertIfNegative val="0"/>
          <c:cat>
            <c:strRef>
              <c:f>Sheet1!$C$111:$C$119</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Sheet1!$D$111:$D$119</c:f>
              <c:numCache>
                <c:formatCode>General</c:formatCode>
                <c:ptCount val="9"/>
                <c:pt idx="0" formatCode="0">
                  <c:v>3634366</c:v>
                </c:pt>
                <c:pt idx="1">
                  <c:v>26324198</c:v>
                </c:pt>
                <c:pt idx="2">
                  <c:v>11398222</c:v>
                </c:pt>
                <c:pt idx="3">
                  <c:v>9920942</c:v>
                </c:pt>
                <c:pt idx="4" formatCode="0">
                  <c:v>4337098</c:v>
                </c:pt>
                <c:pt idx="5" formatCode="0">
                  <c:v>24949074</c:v>
                </c:pt>
                <c:pt idx="6">
                  <c:v>16608298</c:v>
                </c:pt>
                <c:pt idx="7">
                  <c:v>11308227</c:v>
                </c:pt>
                <c:pt idx="8" formatCode="0">
                  <c:v>4772647</c:v>
                </c:pt>
              </c:numCache>
            </c:numRef>
          </c:val>
        </c:ser>
        <c:ser>
          <c:idx val="1"/>
          <c:order val="1"/>
          <c:tx>
            <c:strRef>
              <c:f>Sheet1!$E$94</c:f>
              <c:strCache>
                <c:ptCount val="1"/>
                <c:pt idx="0">
                  <c:v>Horticulture</c:v>
                </c:pt>
              </c:strCache>
            </c:strRef>
          </c:tx>
          <c:spPr>
            <a:solidFill>
              <a:schemeClr val="accent3">
                <a:lumMod val="60000"/>
                <a:lumOff val="40000"/>
              </a:schemeClr>
            </a:solidFill>
            <a:ln>
              <a:solidFill>
                <a:schemeClr val="accent3">
                  <a:lumMod val="60000"/>
                  <a:lumOff val="40000"/>
                </a:schemeClr>
              </a:solidFill>
            </a:ln>
          </c:spPr>
          <c:invertIfNegative val="0"/>
          <c:cat>
            <c:strRef>
              <c:f>Sheet1!$C$111:$C$119</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Sheet1!$E$111:$E$119</c:f>
              <c:numCache>
                <c:formatCode>General</c:formatCode>
                <c:ptCount val="9"/>
                <c:pt idx="0" formatCode="0">
                  <c:v>14855242</c:v>
                </c:pt>
                <c:pt idx="1">
                  <c:v>17613263</c:v>
                </c:pt>
                <c:pt idx="2">
                  <c:v>19038942</c:v>
                </c:pt>
                <c:pt idx="3">
                  <c:v>13989728</c:v>
                </c:pt>
                <c:pt idx="4" formatCode="0">
                  <c:v>20031277</c:v>
                </c:pt>
                <c:pt idx="5" formatCode="0">
                  <c:v>22687410</c:v>
                </c:pt>
                <c:pt idx="6">
                  <c:v>21129384</c:v>
                </c:pt>
                <c:pt idx="7">
                  <c:v>14523676</c:v>
                </c:pt>
                <c:pt idx="8" formatCode="0">
                  <c:v>19552924</c:v>
                </c:pt>
              </c:numCache>
            </c:numRef>
          </c:val>
        </c:ser>
        <c:ser>
          <c:idx val="2"/>
          <c:order val="2"/>
          <c:tx>
            <c:strRef>
              <c:f>Sheet1!$F$94</c:f>
              <c:strCache>
                <c:ptCount val="1"/>
                <c:pt idx="0">
                  <c:v>Animal products</c:v>
                </c:pt>
              </c:strCache>
            </c:strRef>
          </c:tx>
          <c:spPr>
            <a:solidFill>
              <a:srgbClr val="005D28"/>
            </a:solidFill>
          </c:spPr>
          <c:invertIfNegative val="0"/>
          <c:cat>
            <c:strRef>
              <c:f>Sheet1!$C$111:$C$119</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Sheet1!$F$111:$F$119</c:f>
              <c:numCache>
                <c:formatCode>General</c:formatCode>
                <c:ptCount val="9"/>
                <c:pt idx="0" formatCode="0">
                  <c:v>27260086</c:v>
                </c:pt>
                <c:pt idx="1">
                  <c:v>27410451</c:v>
                </c:pt>
                <c:pt idx="2">
                  <c:v>27240805</c:v>
                </c:pt>
                <c:pt idx="3">
                  <c:v>30361532</c:v>
                </c:pt>
                <c:pt idx="4" formatCode="0">
                  <c:v>28636339</c:v>
                </c:pt>
                <c:pt idx="5" formatCode="0">
                  <c:v>28046048</c:v>
                </c:pt>
                <c:pt idx="6">
                  <c:v>29263526</c:v>
                </c:pt>
                <c:pt idx="7">
                  <c:v>33753579</c:v>
                </c:pt>
                <c:pt idx="8" formatCode="0">
                  <c:v>31091382</c:v>
                </c:pt>
              </c:numCache>
            </c:numRef>
          </c:val>
        </c:ser>
        <c:dLbls>
          <c:showLegendKey val="0"/>
          <c:showVal val="0"/>
          <c:showCatName val="0"/>
          <c:showSerName val="0"/>
          <c:showPercent val="0"/>
          <c:showBubbleSize val="0"/>
        </c:dLbls>
        <c:gapWidth val="150"/>
        <c:axId val="554380288"/>
        <c:axId val="554382080"/>
      </c:barChart>
      <c:catAx>
        <c:axId val="554380288"/>
        <c:scaling>
          <c:orientation val="minMax"/>
        </c:scaling>
        <c:delete val="0"/>
        <c:axPos val="b"/>
        <c:numFmt formatCode="0" sourceLinked="1"/>
        <c:majorTickMark val="out"/>
        <c:minorTickMark val="none"/>
        <c:tickLblPos val="nextTo"/>
        <c:txPr>
          <a:bodyPr rot="0" vert="horz"/>
          <a:lstStyle/>
          <a:p>
            <a:pPr>
              <a:defRPr sz="1000" b="0" i="0" u="none" strike="noStrike" baseline="0">
                <a:solidFill>
                  <a:srgbClr val="000000"/>
                </a:solidFill>
                <a:latin typeface="Arial"/>
                <a:ea typeface="Arial"/>
                <a:cs typeface="Arial"/>
              </a:defRPr>
            </a:pPr>
            <a:endParaRPr lang="en-US"/>
          </a:p>
        </c:txPr>
        <c:crossAx val="554382080"/>
        <c:crossesAt val="0"/>
        <c:auto val="1"/>
        <c:lblAlgn val="ctr"/>
        <c:lblOffset val="100"/>
        <c:noMultiLvlLbl val="0"/>
      </c:catAx>
      <c:valAx>
        <c:axId val="554382080"/>
        <c:scaling>
          <c:orientation val="minMax"/>
        </c:scaling>
        <c:delete val="0"/>
        <c:axPos val="l"/>
        <c:majorGridlines/>
        <c:numFmt formatCode="#,##0.0" sourceLinked="0"/>
        <c:majorTickMark val="out"/>
        <c:minorTickMark val="none"/>
        <c:tickLblPos val="nextTo"/>
        <c:txPr>
          <a:bodyPr rot="0" vert="horz"/>
          <a:lstStyle/>
          <a:p>
            <a:pPr>
              <a:defRPr sz="1000" b="0" i="0" u="none" strike="noStrike" baseline="0">
                <a:solidFill>
                  <a:srgbClr val="000000"/>
                </a:solidFill>
                <a:latin typeface="Arial"/>
                <a:ea typeface="Arial"/>
                <a:cs typeface="Arial"/>
              </a:defRPr>
            </a:pPr>
            <a:endParaRPr lang="en-US"/>
          </a:p>
        </c:txPr>
        <c:crossAx val="554380288"/>
        <c:crosses val="autoZero"/>
        <c:crossBetween val="between"/>
        <c:dispUnits>
          <c:builtInUnit val="millions"/>
          <c:dispUnitsLbl>
            <c:layout>
              <c:manualLayout>
                <c:xMode val="edge"/>
                <c:yMode val="edge"/>
                <c:x val="1.9444444444444445E-2"/>
                <c:y val="0.35232648002333083"/>
              </c:manualLayout>
            </c:layout>
            <c:tx>
              <c:rich>
                <a:bodyPr rot="-5400000" vert="horz"/>
                <a:lstStyle/>
                <a:p>
                  <a:pPr algn="ctr">
                    <a:defRPr sz="1000" b="0" i="0" u="none" strike="noStrike" baseline="0">
                      <a:solidFill>
                        <a:srgbClr val="000000"/>
                      </a:solidFill>
                      <a:latin typeface="Arial"/>
                      <a:ea typeface="Arial"/>
                      <a:cs typeface="Arial"/>
                    </a:defRPr>
                  </a:pPr>
                  <a:r>
                    <a:rPr lang="en-ZA"/>
                    <a:t>R billion</a:t>
                  </a:r>
                </a:p>
              </c:rich>
            </c:tx>
          </c:dispUnitsLbl>
        </c:dispUnits>
      </c:valAx>
    </c:plotArea>
    <c:legend>
      <c:legendPos val="b"/>
      <c:overlay val="0"/>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9BBB59">
        <a:lumMod val="20000"/>
        <a:lumOff val="80000"/>
      </a:srgbClr>
    </a:solidFill>
    <a:ln w="22225">
      <a:solidFill>
        <a:schemeClr val="accent3">
          <a:lumMod val="60000"/>
          <a:lumOff val="40000"/>
        </a:schemeClr>
      </a:solid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14425877563341"/>
          <c:y val="0.13087416720134862"/>
          <c:w val="0.82158632290664013"/>
          <c:h val="0.63889046443553466"/>
        </c:manualLayout>
      </c:layout>
      <c:barChart>
        <c:barDir val="col"/>
        <c:grouping val="clustered"/>
        <c:varyColors val="0"/>
        <c:ser>
          <c:idx val="0"/>
          <c:order val="0"/>
          <c:tx>
            <c:strRef>
              <c:f>'Graph net farm income'!$C$12</c:f>
              <c:strCache>
                <c:ptCount val="1"/>
                <c:pt idx="0">
                  <c:v>Net Farm Income</c:v>
                </c:pt>
              </c:strCache>
            </c:strRef>
          </c:tx>
          <c:spPr>
            <a:solidFill>
              <a:srgbClr val="005D28"/>
            </a:solidFill>
          </c:spPr>
          <c:invertIfNegative val="0"/>
          <c:cat>
            <c:strRef>
              <c:f>'Graph net farm income'!$A$39:$B$47</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'Graph net farm income'!$C$39:$C$47</c:f>
              <c:numCache>
                <c:formatCode>0</c:formatCode>
                <c:ptCount val="9"/>
                <c:pt idx="0">
                  <c:v>11101096</c:v>
                </c:pt>
                <c:pt idx="1">
                  <c:v>33253986</c:v>
                </c:pt>
                <c:pt idx="2">
                  <c:v>17269513</c:v>
                </c:pt>
                <c:pt idx="3">
                  <c:v>13200817</c:v>
                </c:pt>
                <c:pt idx="4">
                  <c:v>15680836</c:v>
                </c:pt>
                <c:pt idx="5">
                  <c:v>35115551</c:v>
                </c:pt>
                <c:pt idx="6">
                  <c:v>24724456</c:v>
                </c:pt>
                <c:pt idx="7">
                  <c:v>16644461</c:v>
                </c:pt>
                <c:pt idx="8">
                  <c:v>16742717</c:v>
                </c:pt>
              </c:numCache>
            </c:numRef>
          </c:val>
        </c:ser>
        <c:dLbls>
          <c:showLegendKey val="0"/>
          <c:showVal val="0"/>
          <c:showCatName val="0"/>
          <c:showSerName val="0"/>
          <c:showPercent val="0"/>
          <c:showBubbleSize val="0"/>
        </c:dLbls>
        <c:gapWidth val="150"/>
        <c:axId val="554394368"/>
        <c:axId val="554395904"/>
      </c:barChart>
      <c:catAx>
        <c:axId val="554394368"/>
        <c:scaling>
          <c:orientation val="minMax"/>
        </c:scaling>
        <c:delete val="0"/>
        <c:axPos val="b"/>
        <c:numFmt formatCode="0" sourceLinked="1"/>
        <c:majorTickMark val="out"/>
        <c:minorTickMark val="none"/>
        <c:tickLblPos val="nextTo"/>
        <c:spPr>
          <a:noFill/>
        </c:spPr>
        <c:txPr>
          <a:bodyPr rot="0" vert="horz"/>
          <a:lstStyle/>
          <a:p>
            <a:pPr>
              <a:defRPr baseline="0">
                <a:solidFill>
                  <a:sysClr val="windowText" lastClr="000000"/>
                </a:solidFill>
                <a:latin typeface="Arial" pitchFamily="34" charset="0"/>
                <a:cs typeface="Arial" pitchFamily="34" charset="0"/>
              </a:defRPr>
            </a:pPr>
            <a:endParaRPr lang="en-US"/>
          </a:p>
        </c:txPr>
        <c:crossAx val="554395904"/>
        <c:crosses val="autoZero"/>
        <c:auto val="1"/>
        <c:lblAlgn val="ctr"/>
        <c:lblOffset val="100"/>
        <c:tickLblSkip val="1"/>
        <c:tickMarkSkip val="1"/>
        <c:noMultiLvlLbl val="0"/>
      </c:catAx>
      <c:valAx>
        <c:axId val="554395904"/>
        <c:scaling>
          <c:orientation val="minMax"/>
        </c:scaling>
        <c:delete val="0"/>
        <c:axPos val="l"/>
        <c:majorGridlines/>
        <c:title>
          <c:tx>
            <c:rich>
              <a:bodyPr rot="-5400000" vert="horz"/>
              <a:lstStyle/>
              <a:p>
                <a:pPr>
                  <a:defRPr b="0">
                    <a:solidFill>
                      <a:schemeClr val="tx1"/>
                    </a:solidFill>
                    <a:latin typeface="Arial" pitchFamily="34" charset="0"/>
                    <a:cs typeface="Arial" pitchFamily="34" charset="0"/>
                  </a:defRPr>
                </a:pPr>
                <a:r>
                  <a:rPr lang="en-US" b="0">
                    <a:solidFill>
                      <a:schemeClr val="tx1"/>
                    </a:solidFill>
                    <a:latin typeface="Arial" pitchFamily="34" charset="0"/>
                    <a:cs typeface="Arial" pitchFamily="34" charset="0"/>
                  </a:rPr>
                  <a:t>R</a:t>
                </a:r>
                <a:r>
                  <a:rPr lang="en-US" b="0" baseline="0">
                    <a:solidFill>
                      <a:schemeClr val="tx1"/>
                    </a:solidFill>
                    <a:latin typeface="Arial" pitchFamily="34" charset="0"/>
                    <a:cs typeface="Arial" pitchFamily="34" charset="0"/>
                  </a:rPr>
                  <a:t> billion</a:t>
                </a:r>
                <a:endParaRPr lang="en-US" b="0">
                  <a:solidFill>
                    <a:schemeClr val="tx1"/>
                  </a:solidFill>
                  <a:latin typeface="Arial" pitchFamily="34" charset="0"/>
                  <a:cs typeface="Arial" pitchFamily="34" charset="0"/>
                </a:endParaRPr>
              </a:p>
            </c:rich>
          </c:tx>
          <c:layout>
            <c:manualLayout>
              <c:xMode val="edge"/>
              <c:yMode val="edge"/>
              <c:x val="9.1283602018575483E-3"/>
              <c:y val="0.37819079601472094"/>
            </c:manualLayout>
          </c:layout>
          <c:overlay val="0"/>
        </c:title>
        <c:numFmt formatCode="0.0" sourceLinked="0"/>
        <c:majorTickMark val="out"/>
        <c:minorTickMark val="none"/>
        <c:tickLblPos val="nextTo"/>
        <c:txPr>
          <a:bodyPr rot="0" vert="horz"/>
          <a:lstStyle/>
          <a:p>
            <a:pPr>
              <a:defRPr b="0" baseline="0">
                <a:solidFill>
                  <a:sysClr val="windowText" lastClr="000000"/>
                </a:solidFill>
                <a:latin typeface="Arial" pitchFamily="34" charset="0"/>
                <a:cs typeface="Arial" pitchFamily="34" charset="0"/>
              </a:defRPr>
            </a:pPr>
            <a:endParaRPr lang="en-US"/>
          </a:p>
        </c:txPr>
        <c:crossAx val="554394368"/>
        <c:crosses val="autoZero"/>
        <c:crossBetween val="between"/>
        <c:dispUnits>
          <c:builtInUnit val="millions"/>
        </c:dispUnits>
      </c:valAx>
      <c:spPr>
        <a:solidFill>
          <a:schemeClr val="bg1"/>
        </a:solidFill>
      </c:spPr>
    </c:plotArea>
    <c:legend>
      <c:legendPos val="b"/>
      <c:overlay val="0"/>
      <c:txPr>
        <a:bodyPr/>
        <a:lstStyle/>
        <a:p>
          <a:pPr>
            <a:defRPr baseline="0">
              <a:solidFill>
                <a:sysClr val="windowText" lastClr="000000"/>
              </a:solidFill>
              <a:latin typeface="Arial" pitchFamily="34" charset="0"/>
              <a:cs typeface="Arial" pitchFamily="34" charset="0"/>
            </a:defRPr>
          </a:pPr>
          <a:endParaRPr lang="en-US"/>
        </a:p>
      </c:txPr>
    </c:legend>
    <c:plotVisOnly val="1"/>
    <c:dispBlanksAs val="gap"/>
    <c:showDLblsOverMax val="0"/>
  </c:chart>
  <c:spPr>
    <a:solidFill>
      <a:srgbClr val="9BBB59">
        <a:lumMod val="20000"/>
        <a:lumOff val="80000"/>
      </a:srgbClr>
    </a:solidFill>
    <a:ln w="22225">
      <a:solidFill>
        <a:schemeClr val="accent3">
          <a:lumMod val="60000"/>
          <a:lumOff val="40000"/>
        </a:schemeClr>
      </a:solid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Sheet1!$D$131:$D$132</c:f>
              <c:strCache>
                <c:ptCount val="1"/>
                <c:pt idx="0">
                  <c:v>meat</c:v>
                </c:pt>
              </c:strCache>
            </c:strRef>
          </c:tx>
          <c:spPr>
            <a:solidFill>
              <a:srgbClr val="005D28"/>
            </a:solidFill>
            <a:ln>
              <a:solidFill>
                <a:schemeClr val="accent3"/>
              </a:solidFill>
            </a:ln>
          </c:spPr>
          <c:invertIfNegative val="0"/>
          <c:cat>
            <c:strRef>
              <c:f>Sheet1!$C$148:$C$156</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Sheet1!$D$148:$D$156</c:f>
              <c:numCache>
                <c:formatCode>0</c:formatCode>
                <c:ptCount val="9"/>
                <c:pt idx="0">
                  <c:v>45974</c:v>
                </c:pt>
                <c:pt idx="1">
                  <c:v>48170</c:v>
                </c:pt>
                <c:pt idx="2">
                  <c:v>48212</c:v>
                </c:pt>
                <c:pt idx="3">
                  <c:v>52756</c:v>
                </c:pt>
                <c:pt idx="4">
                  <c:v>50324</c:v>
                </c:pt>
                <c:pt idx="5">
                  <c:v>52350</c:v>
                </c:pt>
                <c:pt idx="6">
                  <c:v>52859</c:v>
                </c:pt>
                <c:pt idx="7">
                  <c:v>56348</c:v>
                </c:pt>
                <c:pt idx="8">
                  <c:v>50932</c:v>
                </c:pt>
              </c:numCache>
            </c:numRef>
          </c:val>
        </c:ser>
        <c:ser>
          <c:idx val="1"/>
          <c:order val="1"/>
          <c:tx>
            <c:strRef>
              <c:f>Sheet1!$E$131:$E$132</c:f>
              <c:strCache>
                <c:ptCount val="1"/>
                <c:pt idx="0">
                  <c:v>bread &amp; grain</c:v>
                </c:pt>
              </c:strCache>
            </c:strRef>
          </c:tx>
          <c:spPr>
            <a:solidFill>
              <a:srgbClr val="D8A851"/>
            </a:solidFill>
          </c:spPr>
          <c:invertIfNegative val="0"/>
          <c:cat>
            <c:strRef>
              <c:f>Sheet1!$C$148:$C$156</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Sheet1!$E$148:$E$156</c:f>
              <c:numCache>
                <c:formatCode>0</c:formatCode>
                <c:ptCount val="9"/>
                <c:pt idx="0">
                  <c:v>31422</c:v>
                </c:pt>
                <c:pt idx="1">
                  <c:v>31242</c:v>
                </c:pt>
                <c:pt idx="2">
                  <c:v>33517</c:v>
                </c:pt>
                <c:pt idx="3">
                  <c:v>32901</c:v>
                </c:pt>
                <c:pt idx="4">
                  <c:v>35380</c:v>
                </c:pt>
                <c:pt idx="5">
                  <c:v>40373</c:v>
                </c:pt>
                <c:pt idx="6">
                  <c:v>41793</c:v>
                </c:pt>
                <c:pt idx="7">
                  <c:v>42490</c:v>
                </c:pt>
                <c:pt idx="8">
                  <c:v>41018</c:v>
                </c:pt>
              </c:numCache>
            </c:numRef>
          </c:val>
        </c:ser>
        <c:ser>
          <c:idx val="2"/>
          <c:order val="2"/>
          <c:tx>
            <c:strRef>
              <c:f>Sheet1!$F$131:$F$132</c:f>
              <c:strCache>
                <c:ptCount val="1"/>
                <c:pt idx="0">
                  <c:v>fruit &amp; veg</c:v>
                </c:pt>
              </c:strCache>
            </c:strRef>
          </c:tx>
          <c:spPr>
            <a:solidFill>
              <a:schemeClr val="accent3">
                <a:lumMod val="60000"/>
                <a:lumOff val="40000"/>
              </a:schemeClr>
            </a:solidFill>
          </c:spPr>
          <c:invertIfNegative val="0"/>
          <c:cat>
            <c:strRef>
              <c:f>Sheet1!$C$148:$C$156</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Sheet1!$F$148:$F$156</c:f>
              <c:numCache>
                <c:formatCode>0</c:formatCode>
                <c:ptCount val="9"/>
                <c:pt idx="0">
                  <c:v>13543</c:v>
                </c:pt>
                <c:pt idx="1">
                  <c:v>12945</c:v>
                </c:pt>
                <c:pt idx="2">
                  <c:v>13552</c:v>
                </c:pt>
                <c:pt idx="3">
                  <c:v>16569</c:v>
                </c:pt>
                <c:pt idx="4">
                  <c:v>16085</c:v>
                </c:pt>
                <c:pt idx="5">
                  <c:v>15391</c:v>
                </c:pt>
                <c:pt idx="6">
                  <c:v>15262</c:v>
                </c:pt>
                <c:pt idx="7">
                  <c:v>16204</c:v>
                </c:pt>
                <c:pt idx="8">
                  <c:v>14332</c:v>
                </c:pt>
              </c:numCache>
            </c:numRef>
          </c:val>
        </c:ser>
        <c:ser>
          <c:idx val="3"/>
          <c:order val="3"/>
          <c:tx>
            <c:strRef>
              <c:f>Sheet1!$G$131:$G$132</c:f>
              <c:strCache>
                <c:ptCount val="1"/>
                <c:pt idx="0">
                  <c:v>potatoes</c:v>
                </c:pt>
              </c:strCache>
            </c:strRef>
          </c:tx>
          <c:spPr>
            <a:solidFill>
              <a:srgbClr val="825B31"/>
            </a:solidFill>
          </c:spPr>
          <c:invertIfNegative val="0"/>
          <c:cat>
            <c:strRef>
              <c:f>Sheet1!$C$148:$C$156</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Sheet1!$G$148:$G$156</c:f>
              <c:numCache>
                <c:formatCode>0</c:formatCode>
                <c:ptCount val="9"/>
                <c:pt idx="0">
                  <c:v>4018</c:v>
                </c:pt>
                <c:pt idx="1">
                  <c:v>4470</c:v>
                </c:pt>
                <c:pt idx="2">
                  <c:v>4571</c:v>
                </c:pt>
                <c:pt idx="3">
                  <c:v>4447</c:v>
                </c:pt>
                <c:pt idx="4">
                  <c:v>4125</c:v>
                </c:pt>
                <c:pt idx="5">
                  <c:v>5765</c:v>
                </c:pt>
                <c:pt idx="6">
                  <c:v>4916</c:v>
                </c:pt>
                <c:pt idx="7">
                  <c:v>5085</c:v>
                </c:pt>
                <c:pt idx="8">
                  <c:v>5403</c:v>
                </c:pt>
              </c:numCache>
            </c:numRef>
          </c:val>
        </c:ser>
        <c:ser>
          <c:idx val="4"/>
          <c:order val="4"/>
          <c:tx>
            <c:strRef>
              <c:f>Sheet1!$H$131:$H$132</c:f>
              <c:strCache>
                <c:ptCount val="1"/>
                <c:pt idx="0">
                  <c:v>oils and fats</c:v>
                </c:pt>
              </c:strCache>
            </c:strRef>
          </c:tx>
          <c:spPr>
            <a:solidFill>
              <a:srgbClr val="E01F16"/>
            </a:solidFill>
            <a:ln>
              <a:solidFill>
                <a:srgbClr val="FF0000"/>
              </a:solidFill>
            </a:ln>
          </c:spPr>
          <c:invertIfNegative val="0"/>
          <c:cat>
            <c:strRef>
              <c:f>Sheet1!$C$148:$C$156</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Sheet1!$H$148:$H$156</c:f>
              <c:numCache>
                <c:formatCode>0</c:formatCode>
                <c:ptCount val="9"/>
                <c:pt idx="0">
                  <c:v>3085</c:v>
                </c:pt>
                <c:pt idx="1">
                  <c:v>2718</c:v>
                </c:pt>
                <c:pt idx="2">
                  <c:v>2785</c:v>
                </c:pt>
                <c:pt idx="3">
                  <c:v>3418</c:v>
                </c:pt>
                <c:pt idx="4">
                  <c:v>2836</c:v>
                </c:pt>
                <c:pt idx="5">
                  <c:v>2578</c:v>
                </c:pt>
                <c:pt idx="6">
                  <c:v>2997</c:v>
                </c:pt>
                <c:pt idx="7">
                  <c:v>3527</c:v>
                </c:pt>
                <c:pt idx="8">
                  <c:v>2700</c:v>
                </c:pt>
              </c:numCache>
            </c:numRef>
          </c:val>
        </c:ser>
        <c:dLbls>
          <c:showLegendKey val="0"/>
          <c:showVal val="0"/>
          <c:showCatName val="0"/>
          <c:showSerName val="0"/>
          <c:showPercent val="0"/>
          <c:showBubbleSize val="0"/>
        </c:dLbls>
        <c:gapWidth val="150"/>
        <c:axId val="554415616"/>
        <c:axId val="554417152"/>
      </c:barChart>
      <c:catAx>
        <c:axId val="554415616"/>
        <c:scaling>
          <c:orientation val="minMax"/>
        </c:scaling>
        <c:delete val="0"/>
        <c:axPos val="b"/>
        <c:numFmt formatCode="0" sourceLinked="1"/>
        <c:majorTickMark val="out"/>
        <c:minorTickMark val="none"/>
        <c:tickLblPos val="nextTo"/>
        <c:txPr>
          <a:bodyPr rot="-2700000" vert="horz"/>
          <a:lstStyle/>
          <a:p>
            <a:pPr>
              <a:defRPr sz="1000" b="0" i="0" u="none" strike="noStrike" baseline="0">
                <a:solidFill>
                  <a:srgbClr val="000000"/>
                </a:solidFill>
                <a:latin typeface="Arial"/>
                <a:ea typeface="Arial"/>
                <a:cs typeface="Arial"/>
              </a:defRPr>
            </a:pPr>
            <a:endParaRPr lang="en-US"/>
          </a:p>
        </c:txPr>
        <c:crossAx val="554417152"/>
        <c:crosses val="autoZero"/>
        <c:auto val="1"/>
        <c:lblAlgn val="ctr"/>
        <c:lblOffset val="100"/>
        <c:noMultiLvlLbl val="0"/>
      </c:catAx>
      <c:valAx>
        <c:axId val="554417152"/>
        <c:scaling>
          <c:orientation val="minMax"/>
        </c:scaling>
        <c:delete val="0"/>
        <c:axPos val="l"/>
        <c:majorGridlines/>
        <c:numFmt formatCode="#,##0.0" sourceLinked="0"/>
        <c:majorTickMark val="out"/>
        <c:minorTickMark val="none"/>
        <c:tickLblPos val="nextTo"/>
        <c:txPr>
          <a:bodyPr rot="0" vert="horz"/>
          <a:lstStyle/>
          <a:p>
            <a:pPr>
              <a:defRPr sz="1000" b="0" i="0" u="none" strike="noStrike" baseline="0">
                <a:solidFill>
                  <a:srgbClr val="000000"/>
                </a:solidFill>
                <a:latin typeface="Arial"/>
                <a:ea typeface="Arial"/>
                <a:cs typeface="Arial"/>
              </a:defRPr>
            </a:pPr>
            <a:endParaRPr lang="en-US"/>
          </a:p>
        </c:txPr>
        <c:crossAx val="554415616"/>
        <c:crosses val="autoZero"/>
        <c:crossBetween val="between"/>
        <c:dispUnits>
          <c:builtInUnit val="thousands"/>
          <c:dispUnitsLbl>
            <c:layout>
              <c:manualLayout>
                <c:xMode val="edge"/>
                <c:yMode val="edge"/>
                <c:x val="2.5000000000000001E-2"/>
                <c:y val="0.34306722076407131"/>
              </c:manualLayout>
            </c:layout>
            <c:tx>
              <c:rich>
                <a:bodyPr rot="-5400000" vert="horz"/>
                <a:lstStyle/>
                <a:p>
                  <a:pPr algn="ctr">
                    <a:defRPr sz="1000" b="0" i="0" u="none" strike="noStrike" baseline="0">
                      <a:solidFill>
                        <a:srgbClr val="000000"/>
                      </a:solidFill>
                      <a:latin typeface="Arial"/>
                      <a:ea typeface="Arial"/>
                      <a:cs typeface="Arial"/>
                    </a:defRPr>
                  </a:pPr>
                  <a:r>
                    <a:rPr lang="en-ZA"/>
                    <a:t>R billion</a:t>
                  </a:r>
                </a:p>
              </c:rich>
            </c:tx>
          </c:dispUnitsLbl>
        </c:dispUnits>
      </c:valAx>
    </c:plotArea>
    <c:legend>
      <c:legendPos val="b"/>
      <c:overlay val="0"/>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chemeClr val="accent3">
        <a:lumMod val="20000"/>
        <a:lumOff val="80000"/>
      </a:schemeClr>
    </a:solidFill>
    <a:ln w="22225">
      <a:solidFill>
        <a:schemeClr val="accent3">
          <a:lumMod val="60000"/>
          <a:lumOff val="40000"/>
        </a:schemeClr>
      </a:solid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Sheet1!$A$49:$B$49</c:f>
              <c:strCache>
                <c:ptCount val="1"/>
                <c:pt idx="0">
                  <c:v>Import parity price </c:v>
                </c:pt>
              </c:strCache>
            </c:strRef>
          </c:tx>
          <c:spPr>
            <a:ln>
              <a:solidFill>
                <a:schemeClr val="tx1"/>
              </a:solidFill>
            </a:ln>
          </c:spPr>
          <c:marker>
            <c:symbol val="none"/>
          </c:marker>
          <c:cat>
            <c:numRef>
              <c:f>Sheet1!$K$48:$AP$48</c:f>
              <c:numCache>
                <c:formatCode>mmm\-yy</c:formatCode>
                <c:ptCount val="32"/>
                <c:pt idx="0">
                  <c:v>41883</c:v>
                </c:pt>
                <c:pt idx="1">
                  <c:v>41913</c:v>
                </c:pt>
                <c:pt idx="2">
                  <c:v>41944</c:v>
                </c:pt>
                <c:pt idx="3">
                  <c:v>41974</c:v>
                </c:pt>
                <c:pt idx="4">
                  <c:v>42005</c:v>
                </c:pt>
                <c:pt idx="5">
                  <c:v>42036</c:v>
                </c:pt>
                <c:pt idx="6">
                  <c:v>42064</c:v>
                </c:pt>
                <c:pt idx="7">
                  <c:v>42095</c:v>
                </c:pt>
                <c:pt idx="8">
                  <c:v>42125</c:v>
                </c:pt>
                <c:pt idx="9">
                  <c:v>42156</c:v>
                </c:pt>
                <c:pt idx="10">
                  <c:v>42186</c:v>
                </c:pt>
                <c:pt idx="11">
                  <c:v>42217</c:v>
                </c:pt>
                <c:pt idx="12">
                  <c:v>42248</c:v>
                </c:pt>
                <c:pt idx="13">
                  <c:v>42278</c:v>
                </c:pt>
                <c:pt idx="14">
                  <c:v>42309</c:v>
                </c:pt>
                <c:pt idx="15">
                  <c:v>42339</c:v>
                </c:pt>
                <c:pt idx="16">
                  <c:v>42370</c:v>
                </c:pt>
                <c:pt idx="17">
                  <c:v>42401</c:v>
                </c:pt>
                <c:pt idx="18">
                  <c:v>42430</c:v>
                </c:pt>
                <c:pt idx="19">
                  <c:v>42461</c:v>
                </c:pt>
                <c:pt idx="20">
                  <c:v>42491</c:v>
                </c:pt>
                <c:pt idx="21">
                  <c:v>42522</c:v>
                </c:pt>
                <c:pt idx="22">
                  <c:v>42552</c:v>
                </c:pt>
                <c:pt idx="23">
                  <c:v>42583</c:v>
                </c:pt>
                <c:pt idx="24">
                  <c:v>42614</c:v>
                </c:pt>
                <c:pt idx="25">
                  <c:v>42644</c:v>
                </c:pt>
                <c:pt idx="26">
                  <c:v>42690</c:v>
                </c:pt>
                <c:pt idx="27">
                  <c:v>42705</c:v>
                </c:pt>
                <c:pt idx="28">
                  <c:v>42738</c:v>
                </c:pt>
                <c:pt idx="29">
                  <c:v>42773</c:v>
                </c:pt>
                <c:pt idx="30">
                  <c:v>42808</c:v>
                </c:pt>
                <c:pt idx="31">
                  <c:v>42843</c:v>
                </c:pt>
              </c:numCache>
            </c:numRef>
          </c:cat>
          <c:val>
            <c:numRef>
              <c:f>Sheet1!$K$49:$AP$49</c:f>
              <c:numCache>
                <c:formatCode>0.00</c:formatCode>
                <c:ptCount val="32"/>
                <c:pt idx="0">
                  <c:v>2723.6800000000003</c:v>
                </c:pt>
                <c:pt idx="1">
                  <c:v>2743.9900000000002</c:v>
                </c:pt>
                <c:pt idx="2">
                  <c:v>2803.0800000000004</c:v>
                </c:pt>
                <c:pt idx="3">
                  <c:v>2739.9700000000003</c:v>
                </c:pt>
                <c:pt idx="4">
                  <c:v>3138.04</c:v>
                </c:pt>
                <c:pt idx="5">
                  <c:v>2997.02</c:v>
                </c:pt>
                <c:pt idx="6">
                  <c:v>2993.44</c:v>
                </c:pt>
                <c:pt idx="7">
                  <c:v>3092.33</c:v>
                </c:pt>
                <c:pt idx="8">
                  <c:v>3010.1200000000003</c:v>
                </c:pt>
                <c:pt idx="9">
                  <c:v>3019.54</c:v>
                </c:pt>
                <c:pt idx="10">
                  <c:v>3400.78</c:v>
                </c:pt>
                <c:pt idx="11">
                  <c:v>3192.03</c:v>
                </c:pt>
                <c:pt idx="12">
                  <c:v>3301.1600000000003</c:v>
                </c:pt>
                <c:pt idx="13">
                  <c:v>3556.3900000000003</c:v>
                </c:pt>
                <c:pt idx="14">
                  <c:v>3527.6000000000004</c:v>
                </c:pt>
                <c:pt idx="15">
                  <c:v>3480.42</c:v>
                </c:pt>
                <c:pt idx="16">
                  <c:v>3616.23</c:v>
                </c:pt>
                <c:pt idx="17">
                  <c:v>3871.9300000000003</c:v>
                </c:pt>
                <c:pt idx="18">
                  <c:v>3584.78</c:v>
                </c:pt>
                <c:pt idx="19">
                  <c:v>3172.58</c:v>
                </c:pt>
                <c:pt idx="20">
                  <c:v>3242.74</c:v>
                </c:pt>
                <c:pt idx="21">
                  <c:v>3684.73</c:v>
                </c:pt>
                <c:pt idx="22">
                  <c:v>3379.0099999999998</c:v>
                </c:pt>
                <c:pt idx="23">
                  <c:v>3166.86</c:v>
                </c:pt>
                <c:pt idx="24">
                  <c:v>3064.81</c:v>
                </c:pt>
                <c:pt idx="25">
                  <c:v>2984.3</c:v>
                </c:pt>
                <c:pt idx="26">
                  <c:v>2962.93</c:v>
                </c:pt>
                <c:pt idx="27">
                  <c:v>2970.91</c:v>
                </c:pt>
                <c:pt idx="28">
                  <c:v>3032.49</c:v>
                </c:pt>
                <c:pt idx="29">
                  <c:v>3069.66</c:v>
                </c:pt>
                <c:pt idx="30">
                  <c:v>3004.2799999999997</c:v>
                </c:pt>
                <c:pt idx="31">
                  <c:v>3007.67</c:v>
                </c:pt>
              </c:numCache>
            </c:numRef>
          </c:val>
          <c:smooth val="0"/>
        </c:ser>
        <c:ser>
          <c:idx val="1"/>
          <c:order val="1"/>
          <c:tx>
            <c:strRef>
              <c:f>Sheet1!$A$50:$B$50</c:f>
              <c:strCache>
                <c:ptCount val="1"/>
                <c:pt idx="0">
                  <c:v>Export parity Price</c:v>
                </c:pt>
              </c:strCache>
            </c:strRef>
          </c:tx>
          <c:marker>
            <c:symbol val="none"/>
          </c:marker>
          <c:cat>
            <c:numRef>
              <c:f>Sheet1!$K$48:$AP$48</c:f>
              <c:numCache>
                <c:formatCode>mmm\-yy</c:formatCode>
                <c:ptCount val="32"/>
                <c:pt idx="0">
                  <c:v>41883</c:v>
                </c:pt>
                <c:pt idx="1">
                  <c:v>41913</c:v>
                </c:pt>
                <c:pt idx="2">
                  <c:v>41944</c:v>
                </c:pt>
                <c:pt idx="3">
                  <c:v>41974</c:v>
                </c:pt>
                <c:pt idx="4">
                  <c:v>42005</c:v>
                </c:pt>
                <c:pt idx="5">
                  <c:v>42036</c:v>
                </c:pt>
                <c:pt idx="6">
                  <c:v>42064</c:v>
                </c:pt>
                <c:pt idx="7">
                  <c:v>42095</c:v>
                </c:pt>
                <c:pt idx="8">
                  <c:v>42125</c:v>
                </c:pt>
                <c:pt idx="9">
                  <c:v>42156</c:v>
                </c:pt>
                <c:pt idx="10">
                  <c:v>42186</c:v>
                </c:pt>
                <c:pt idx="11">
                  <c:v>42217</c:v>
                </c:pt>
                <c:pt idx="12">
                  <c:v>42248</c:v>
                </c:pt>
                <c:pt idx="13">
                  <c:v>42278</c:v>
                </c:pt>
                <c:pt idx="14">
                  <c:v>42309</c:v>
                </c:pt>
                <c:pt idx="15">
                  <c:v>42339</c:v>
                </c:pt>
                <c:pt idx="16">
                  <c:v>42370</c:v>
                </c:pt>
                <c:pt idx="17">
                  <c:v>42401</c:v>
                </c:pt>
                <c:pt idx="18">
                  <c:v>42430</c:v>
                </c:pt>
                <c:pt idx="19">
                  <c:v>42461</c:v>
                </c:pt>
                <c:pt idx="20">
                  <c:v>42491</c:v>
                </c:pt>
                <c:pt idx="21">
                  <c:v>42522</c:v>
                </c:pt>
                <c:pt idx="22">
                  <c:v>42552</c:v>
                </c:pt>
                <c:pt idx="23">
                  <c:v>42583</c:v>
                </c:pt>
                <c:pt idx="24">
                  <c:v>42614</c:v>
                </c:pt>
                <c:pt idx="25">
                  <c:v>42644</c:v>
                </c:pt>
                <c:pt idx="26">
                  <c:v>42690</c:v>
                </c:pt>
                <c:pt idx="27">
                  <c:v>42705</c:v>
                </c:pt>
                <c:pt idx="28">
                  <c:v>42738</c:v>
                </c:pt>
                <c:pt idx="29">
                  <c:v>42773</c:v>
                </c:pt>
                <c:pt idx="30">
                  <c:v>42808</c:v>
                </c:pt>
                <c:pt idx="31">
                  <c:v>42843</c:v>
                </c:pt>
              </c:numCache>
            </c:numRef>
          </c:cat>
          <c:val>
            <c:numRef>
              <c:f>Sheet1!$K$50:$AP$50</c:f>
              <c:numCache>
                <c:formatCode>0.00</c:formatCode>
                <c:ptCount val="32"/>
                <c:pt idx="0">
                  <c:v>1571.85</c:v>
                </c:pt>
                <c:pt idx="1">
                  <c:v>1578.92</c:v>
                </c:pt>
                <c:pt idx="2">
                  <c:v>1640.54</c:v>
                </c:pt>
                <c:pt idx="3">
                  <c:v>1576.75</c:v>
                </c:pt>
                <c:pt idx="4">
                  <c:v>1709.58</c:v>
                </c:pt>
                <c:pt idx="5">
                  <c:v>1643.74</c:v>
                </c:pt>
                <c:pt idx="6">
                  <c:v>1647.78</c:v>
                </c:pt>
                <c:pt idx="7">
                  <c:v>1673.32</c:v>
                </c:pt>
                <c:pt idx="8">
                  <c:v>1592.33</c:v>
                </c:pt>
                <c:pt idx="9">
                  <c:v>1598.77</c:v>
                </c:pt>
                <c:pt idx="10">
                  <c:v>1912.03</c:v>
                </c:pt>
                <c:pt idx="11">
                  <c:v>1675.08</c:v>
                </c:pt>
                <c:pt idx="12">
                  <c:v>1741.3</c:v>
                </c:pt>
                <c:pt idx="13">
                  <c:v>2035.83</c:v>
                </c:pt>
                <c:pt idx="14">
                  <c:v>2004.77</c:v>
                </c:pt>
                <c:pt idx="15">
                  <c:v>1985.09</c:v>
                </c:pt>
                <c:pt idx="16">
                  <c:v>2109.62</c:v>
                </c:pt>
                <c:pt idx="17">
                  <c:v>2379.6799999999998</c:v>
                </c:pt>
                <c:pt idx="18">
                  <c:v>2087.5500000000002</c:v>
                </c:pt>
                <c:pt idx="19">
                  <c:v>1983.29</c:v>
                </c:pt>
                <c:pt idx="20">
                  <c:v>1975.93</c:v>
                </c:pt>
                <c:pt idx="21">
                  <c:v>2577.27</c:v>
                </c:pt>
                <c:pt idx="22">
                  <c:v>2250.19</c:v>
                </c:pt>
                <c:pt idx="23">
                  <c:v>2069.85</c:v>
                </c:pt>
                <c:pt idx="24">
                  <c:v>2021.45</c:v>
                </c:pt>
                <c:pt idx="25">
                  <c:v>1964.31</c:v>
                </c:pt>
                <c:pt idx="26">
                  <c:v>1971.47</c:v>
                </c:pt>
                <c:pt idx="27">
                  <c:v>1896.17</c:v>
                </c:pt>
                <c:pt idx="28">
                  <c:v>1896.17</c:v>
                </c:pt>
                <c:pt idx="29">
                  <c:v>1997.26</c:v>
                </c:pt>
                <c:pt idx="30">
                  <c:v>1902</c:v>
                </c:pt>
                <c:pt idx="31">
                  <c:v>1903.04</c:v>
                </c:pt>
              </c:numCache>
            </c:numRef>
          </c:val>
          <c:smooth val="0"/>
        </c:ser>
        <c:ser>
          <c:idx val="2"/>
          <c:order val="2"/>
          <c:tx>
            <c:strRef>
              <c:f>Sheet1!$A$51:$B$51</c:f>
              <c:strCache>
                <c:ptCount val="1"/>
                <c:pt idx="0">
                  <c:v>White maize</c:v>
                </c:pt>
              </c:strCache>
            </c:strRef>
          </c:tx>
          <c:marker>
            <c:symbol val="none"/>
          </c:marker>
          <c:cat>
            <c:numRef>
              <c:f>Sheet1!$K$48:$AP$48</c:f>
              <c:numCache>
                <c:formatCode>mmm\-yy</c:formatCode>
                <c:ptCount val="32"/>
                <c:pt idx="0">
                  <c:v>41883</c:v>
                </c:pt>
                <c:pt idx="1">
                  <c:v>41913</c:v>
                </c:pt>
                <c:pt idx="2">
                  <c:v>41944</c:v>
                </c:pt>
                <c:pt idx="3">
                  <c:v>41974</c:v>
                </c:pt>
                <c:pt idx="4">
                  <c:v>42005</c:v>
                </c:pt>
                <c:pt idx="5">
                  <c:v>42036</c:v>
                </c:pt>
                <c:pt idx="6">
                  <c:v>42064</c:v>
                </c:pt>
                <c:pt idx="7">
                  <c:v>42095</c:v>
                </c:pt>
                <c:pt idx="8">
                  <c:v>42125</c:v>
                </c:pt>
                <c:pt idx="9">
                  <c:v>42156</c:v>
                </c:pt>
                <c:pt idx="10">
                  <c:v>42186</c:v>
                </c:pt>
                <c:pt idx="11">
                  <c:v>42217</c:v>
                </c:pt>
                <c:pt idx="12">
                  <c:v>42248</c:v>
                </c:pt>
                <c:pt idx="13">
                  <c:v>42278</c:v>
                </c:pt>
                <c:pt idx="14">
                  <c:v>42309</c:v>
                </c:pt>
                <c:pt idx="15">
                  <c:v>42339</c:v>
                </c:pt>
                <c:pt idx="16">
                  <c:v>42370</c:v>
                </c:pt>
                <c:pt idx="17">
                  <c:v>42401</c:v>
                </c:pt>
                <c:pt idx="18">
                  <c:v>42430</c:v>
                </c:pt>
                <c:pt idx="19">
                  <c:v>42461</c:v>
                </c:pt>
                <c:pt idx="20">
                  <c:v>42491</c:v>
                </c:pt>
                <c:pt idx="21">
                  <c:v>42522</c:v>
                </c:pt>
                <c:pt idx="22">
                  <c:v>42552</c:v>
                </c:pt>
                <c:pt idx="23">
                  <c:v>42583</c:v>
                </c:pt>
                <c:pt idx="24">
                  <c:v>42614</c:v>
                </c:pt>
                <c:pt idx="25">
                  <c:v>42644</c:v>
                </c:pt>
                <c:pt idx="26">
                  <c:v>42690</c:v>
                </c:pt>
                <c:pt idx="27">
                  <c:v>42705</c:v>
                </c:pt>
                <c:pt idx="28">
                  <c:v>42738</c:v>
                </c:pt>
                <c:pt idx="29">
                  <c:v>42773</c:v>
                </c:pt>
                <c:pt idx="30">
                  <c:v>42808</c:v>
                </c:pt>
                <c:pt idx="31">
                  <c:v>42843</c:v>
                </c:pt>
              </c:numCache>
            </c:numRef>
          </c:cat>
          <c:val>
            <c:numRef>
              <c:f>Sheet1!$K$51:$AP$51</c:f>
              <c:numCache>
                <c:formatCode>0.00</c:formatCode>
                <c:ptCount val="32"/>
                <c:pt idx="0">
                  <c:v>1723.1904761904761</c:v>
                </c:pt>
                <c:pt idx="1">
                  <c:v>1912.0666666666666</c:v>
                </c:pt>
                <c:pt idx="2">
                  <c:v>1973.3</c:v>
                </c:pt>
                <c:pt idx="3">
                  <c:v>2108.1999999999998</c:v>
                </c:pt>
                <c:pt idx="4">
                  <c:v>2012.3809523809523</c:v>
                </c:pt>
                <c:pt idx="5">
                  <c:v>2553</c:v>
                </c:pt>
                <c:pt idx="6">
                  <c:v>2647.681818181818</c:v>
                </c:pt>
                <c:pt idx="7">
                  <c:v>2559.4736842105262</c:v>
                </c:pt>
                <c:pt idx="8">
                  <c:v>2740.65</c:v>
                </c:pt>
                <c:pt idx="9">
                  <c:v>2886.4285714285716</c:v>
                </c:pt>
                <c:pt idx="10">
                  <c:v>3170.608695652174</c:v>
                </c:pt>
                <c:pt idx="11">
                  <c:v>3049.85</c:v>
                </c:pt>
                <c:pt idx="12">
                  <c:v>3116.4761904761904</c:v>
                </c:pt>
                <c:pt idx="13">
                  <c:v>3139.409090909091</c:v>
                </c:pt>
                <c:pt idx="14">
                  <c:v>3216.35</c:v>
                </c:pt>
                <c:pt idx="15">
                  <c:v>3959.5</c:v>
                </c:pt>
                <c:pt idx="16">
                  <c:v>4949.6499999999996</c:v>
                </c:pt>
                <c:pt idx="17">
                  <c:v>4991.5714285714284</c:v>
                </c:pt>
                <c:pt idx="18">
                  <c:v>4835.75</c:v>
                </c:pt>
                <c:pt idx="19">
                  <c:v>4512.8</c:v>
                </c:pt>
                <c:pt idx="20">
                  <c:v>4863.8571428571431</c:v>
                </c:pt>
                <c:pt idx="21">
                  <c:v>4781.7619047619046</c:v>
                </c:pt>
                <c:pt idx="22">
                  <c:v>4453.4495182439996</c:v>
                </c:pt>
                <c:pt idx="23">
                  <c:v>4137.3446381079048</c:v>
                </c:pt>
                <c:pt idx="24">
                  <c:v>3922.7154307052274</c:v>
                </c:pt>
                <c:pt idx="25">
                  <c:v>3545.8673622817623</c:v>
                </c:pt>
                <c:pt idx="26">
                  <c:v>3789.8301008455001</c:v>
                </c:pt>
                <c:pt idx="27">
                  <c:v>3995.9661127310524</c:v>
                </c:pt>
                <c:pt idx="28">
                  <c:v>3403.1820803051905</c:v>
                </c:pt>
                <c:pt idx="29" formatCode="General">
                  <c:v>2935</c:v>
                </c:pt>
                <c:pt idx="30" formatCode="General">
                  <c:v>2136</c:v>
                </c:pt>
                <c:pt idx="31" formatCode="General">
                  <c:v>2006</c:v>
                </c:pt>
              </c:numCache>
            </c:numRef>
          </c:val>
          <c:smooth val="0"/>
        </c:ser>
        <c:ser>
          <c:idx val="3"/>
          <c:order val="3"/>
          <c:tx>
            <c:strRef>
              <c:f>Sheet1!$A$52:$B$52</c:f>
              <c:strCache>
                <c:ptCount val="1"/>
                <c:pt idx="0">
                  <c:v>Yellow Maize</c:v>
                </c:pt>
              </c:strCache>
            </c:strRef>
          </c:tx>
          <c:spPr>
            <a:ln>
              <a:solidFill>
                <a:srgbClr val="D8A851"/>
              </a:solidFill>
            </a:ln>
          </c:spPr>
          <c:marker>
            <c:symbol val="none"/>
          </c:marker>
          <c:cat>
            <c:numRef>
              <c:f>Sheet1!$K$48:$AP$48</c:f>
              <c:numCache>
                <c:formatCode>mmm\-yy</c:formatCode>
                <c:ptCount val="32"/>
                <c:pt idx="0">
                  <c:v>41883</c:v>
                </c:pt>
                <c:pt idx="1">
                  <c:v>41913</c:v>
                </c:pt>
                <c:pt idx="2">
                  <c:v>41944</c:v>
                </c:pt>
                <c:pt idx="3">
                  <c:v>41974</c:v>
                </c:pt>
                <c:pt idx="4">
                  <c:v>42005</c:v>
                </c:pt>
                <c:pt idx="5">
                  <c:v>42036</c:v>
                </c:pt>
                <c:pt idx="6">
                  <c:v>42064</c:v>
                </c:pt>
                <c:pt idx="7">
                  <c:v>42095</c:v>
                </c:pt>
                <c:pt idx="8">
                  <c:v>42125</c:v>
                </c:pt>
                <c:pt idx="9">
                  <c:v>42156</c:v>
                </c:pt>
                <c:pt idx="10">
                  <c:v>42186</c:v>
                </c:pt>
                <c:pt idx="11">
                  <c:v>42217</c:v>
                </c:pt>
                <c:pt idx="12">
                  <c:v>42248</c:v>
                </c:pt>
                <c:pt idx="13">
                  <c:v>42278</c:v>
                </c:pt>
                <c:pt idx="14">
                  <c:v>42309</c:v>
                </c:pt>
                <c:pt idx="15">
                  <c:v>42339</c:v>
                </c:pt>
                <c:pt idx="16">
                  <c:v>42370</c:v>
                </c:pt>
                <c:pt idx="17">
                  <c:v>42401</c:v>
                </c:pt>
                <c:pt idx="18">
                  <c:v>42430</c:v>
                </c:pt>
                <c:pt idx="19">
                  <c:v>42461</c:v>
                </c:pt>
                <c:pt idx="20">
                  <c:v>42491</c:v>
                </c:pt>
                <c:pt idx="21">
                  <c:v>42522</c:v>
                </c:pt>
                <c:pt idx="22">
                  <c:v>42552</c:v>
                </c:pt>
                <c:pt idx="23">
                  <c:v>42583</c:v>
                </c:pt>
                <c:pt idx="24">
                  <c:v>42614</c:v>
                </c:pt>
                <c:pt idx="25">
                  <c:v>42644</c:v>
                </c:pt>
                <c:pt idx="26">
                  <c:v>42690</c:v>
                </c:pt>
                <c:pt idx="27">
                  <c:v>42705</c:v>
                </c:pt>
                <c:pt idx="28">
                  <c:v>42738</c:v>
                </c:pt>
                <c:pt idx="29">
                  <c:v>42773</c:v>
                </c:pt>
                <c:pt idx="30">
                  <c:v>42808</c:v>
                </c:pt>
                <c:pt idx="31">
                  <c:v>42843</c:v>
                </c:pt>
              </c:numCache>
            </c:numRef>
          </c:cat>
          <c:val>
            <c:numRef>
              <c:f>Sheet1!$K$52:$AP$52</c:f>
              <c:numCache>
                <c:formatCode>0.00</c:formatCode>
                <c:ptCount val="32"/>
                <c:pt idx="0">
                  <c:v>1746.952380952381</c:v>
                </c:pt>
                <c:pt idx="1">
                  <c:v>1939.2</c:v>
                </c:pt>
                <c:pt idx="2">
                  <c:v>2008.75</c:v>
                </c:pt>
                <c:pt idx="3">
                  <c:v>2123.6</c:v>
                </c:pt>
                <c:pt idx="4">
                  <c:v>2019.047619047619</c:v>
                </c:pt>
                <c:pt idx="5">
                  <c:v>2316.9</c:v>
                </c:pt>
                <c:pt idx="6">
                  <c:v>2439.909090909091</c:v>
                </c:pt>
                <c:pt idx="7">
                  <c:v>2369.2105263157896</c:v>
                </c:pt>
                <c:pt idx="8">
                  <c:v>2389.15</c:v>
                </c:pt>
                <c:pt idx="9">
                  <c:v>2503.7619047619046</c:v>
                </c:pt>
                <c:pt idx="10">
                  <c:v>2766.304347826087</c:v>
                </c:pt>
                <c:pt idx="11">
                  <c:v>2698.9</c:v>
                </c:pt>
                <c:pt idx="12">
                  <c:v>2856.7619047619046</c:v>
                </c:pt>
                <c:pt idx="13">
                  <c:v>2873.181818181818</c:v>
                </c:pt>
                <c:pt idx="14">
                  <c:v>3108.35</c:v>
                </c:pt>
                <c:pt idx="15">
                  <c:v>3554.2727272727275</c:v>
                </c:pt>
                <c:pt idx="16">
                  <c:v>3875.1</c:v>
                </c:pt>
                <c:pt idx="17">
                  <c:v>3716.8571428571427</c:v>
                </c:pt>
                <c:pt idx="18">
                  <c:v>3288.9</c:v>
                </c:pt>
                <c:pt idx="19">
                  <c:v>3109</c:v>
                </c:pt>
                <c:pt idx="20">
                  <c:v>3470.6666666666665</c:v>
                </c:pt>
                <c:pt idx="21">
                  <c:v>3659.6190476190477</c:v>
                </c:pt>
                <c:pt idx="22">
                  <c:v>3314.1966507867141</c:v>
                </c:pt>
                <c:pt idx="23">
                  <c:v>3123.2479566717147</c:v>
                </c:pt>
                <c:pt idx="24">
                  <c:v>3138.803498985455</c:v>
                </c:pt>
                <c:pt idx="25">
                  <c:v>3168.6707820393808</c:v>
                </c:pt>
                <c:pt idx="26">
                  <c:v>3200</c:v>
                </c:pt>
                <c:pt idx="27">
                  <c:v>3276.8025363062629</c:v>
                </c:pt>
                <c:pt idx="28">
                  <c:v>3180.3134134364759</c:v>
                </c:pt>
                <c:pt idx="29" formatCode="General">
                  <c:v>2861.7</c:v>
                </c:pt>
                <c:pt idx="30" formatCode="General">
                  <c:v>2149</c:v>
                </c:pt>
                <c:pt idx="31" formatCode="General">
                  <c:v>2091</c:v>
                </c:pt>
              </c:numCache>
            </c:numRef>
          </c:val>
          <c:smooth val="0"/>
        </c:ser>
        <c:dLbls>
          <c:showLegendKey val="0"/>
          <c:showVal val="0"/>
          <c:showCatName val="0"/>
          <c:showSerName val="0"/>
          <c:showPercent val="0"/>
          <c:showBubbleSize val="0"/>
        </c:dLbls>
        <c:marker val="1"/>
        <c:smooth val="0"/>
        <c:axId val="553534976"/>
        <c:axId val="553536512"/>
      </c:lineChart>
      <c:dateAx>
        <c:axId val="553534976"/>
        <c:scaling>
          <c:orientation val="minMax"/>
          <c:max val="42843"/>
        </c:scaling>
        <c:delete val="0"/>
        <c:axPos val="b"/>
        <c:numFmt formatCode="mmm\-yy" sourceLinked="1"/>
        <c:majorTickMark val="none"/>
        <c:minorTickMark val="none"/>
        <c:tickLblPos val="nextTo"/>
        <c:crossAx val="553536512"/>
        <c:crosses val="autoZero"/>
        <c:auto val="1"/>
        <c:lblOffset val="100"/>
        <c:baseTimeUnit val="days"/>
        <c:majorUnit val="1"/>
        <c:majorTimeUnit val="months"/>
      </c:dateAx>
      <c:valAx>
        <c:axId val="553536512"/>
        <c:scaling>
          <c:orientation val="minMax"/>
        </c:scaling>
        <c:delete val="0"/>
        <c:axPos val="l"/>
        <c:majorGridlines/>
        <c:title>
          <c:tx>
            <c:rich>
              <a:bodyPr/>
              <a:lstStyle/>
              <a:p>
                <a:pPr>
                  <a:defRPr/>
                </a:pPr>
                <a:r>
                  <a:rPr lang="en-US"/>
                  <a:t>R/Ton</a:t>
                </a:r>
              </a:p>
            </c:rich>
          </c:tx>
          <c:overlay val="0"/>
        </c:title>
        <c:numFmt formatCode="0.00" sourceLinked="1"/>
        <c:majorTickMark val="none"/>
        <c:minorTickMark val="none"/>
        <c:tickLblPos val="nextTo"/>
        <c:crossAx val="553534976"/>
        <c:crosses val="autoZero"/>
        <c:crossBetween val="between"/>
      </c:valAx>
    </c:plotArea>
    <c:legend>
      <c:legendPos val="b"/>
      <c:overlay val="0"/>
    </c:legend>
    <c:plotVisOnly val="1"/>
    <c:dispBlanksAs val="gap"/>
    <c:showDLblsOverMax val="0"/>
  </c:chart>
  <c:spPr>
    <a:solidFill>
      <a:schemeClr val="accent3">
        <a:lumMod val="40000"/>
        <a:lumOff val="60000"/>
      </a:schemeClr>
    </a:soli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4748626452715"/>
          <c:y val="4.717450471654714E-2"/>
          <c:w val="0.71258185015816078"/>
          <c:h val="0.56230442513997425"/>
        </c:manualLayout>
      </c:layout>
      <c:lineChart>
        <c:grouping val="standard"/>
        <c:varyColors val="0"/>
        <c:ser>
          <c:idx val="1"/>
          <c:order val="1"/>
          <c:tx>
            <c:strRef>
              <c:f>Sheet1!$A$76:$B$76</c:f>
              <c:strCache>
                <c:ptCount val="1"/>
                <c:pt idx="0">
                  <c:v>Super Maize 1kg</c:v>
                </c:pt>
              </c:strCache>
            </c:strRef>
          </c:tx>
          <c:marker>
            <c:symbol val="none"/>
          </c:marker>
          <c:cat>
            <c:numRef>
              <c:f>Sheet1!$K$74:$AP$74</c:f>
              <c:numCache>
                <c:formatCode>mmm\-yy</c:formatCode>
                <c:ptCount val="32"/>
                <c:pt idx="0">
                  <c:v>41883</c:v>
                </c:pt>
                <c:pt idx="1">
                  <c:v>41913</c:v>
                </c:pt>
                <c:pt idx="2">
                  <c:v>41944</c:v>
                </c:pt>
                <c:pt idx="3">
                  <c:v>41974</c:v>
                </c:pt>
                <c:pt idx="4">
                  <c:v>42005</c:v>
                </c:pt>
                <c:pt idx="5">
                  <c:v>42036</c:v>
                </c:pt>
                <c:pt idx="6">
                  <c:v>42064</c:v>
                </c:pt>
                <c:pt idx="7">
                  <c:v>42095</c:v>
                </c:pt>
                <c:pt idx="8">
                  <c:v>42125</c:v>
                </c:pt>
                <c:pt idx="9">
                  <c:v>42156</c:v>
                </c:pt>
                <c:pt idx="10">
                  <c:v>42186</c:v>
                </c:pt>
                <c:pt idx="11">
                  <c:v>42217</c:v>
                </c:pt>
                <c:pt idx="12">
                  <c:v>42248</c:v>
                </c:pt>
                <c:pt idx="13">
                  <c:v>42278</c:v>
                </c:pt>
                <c:pt idx="14">
                  <c:v>42309</c:v>
                </c:pt>
                <c:pt idx="15">
                  <c:v>42339</c:v>
                </c:pt>
                <c:pt idx="16">
                  <c:v>42370</c:v>
                </c:pt>
                <c:pt idx="17">
                  <c:v>42401</c:v>
                </c:pt>
                <c:pt idx="18">
                  <c:v>42430</c:v>
                </c:pt>
                <c:pt idx="19">
                  <c:v>42461</c:v>
                </c:pt>
                <c:pt idx="20">
                  <c:v>42491</c:v>
                </c:pt>
                <c:pt idx="21">
                  <c:v>42522</c:v>
                </c:pt>
                <c:pt idx="22">
                  <c:v>42552</c:v>
                </c:pt>
                <c:pt idx="23">
                  <c:v>42583</c:v>
                </c:pt>
                <c:pt idx="24">
                  <c:v>42614</c:v>
                </c:pt>
                <c:pt idx="25">
                  <c:v>42644</c:v>
                </c:pt>
                <c:pt idx="26">
                  <c:v>42675</c:v>
                </c:pt>
                <c:pt idx="27">
                  <c:v>42705</c:v>
                </c:pt>
                <c:pt idx="28">
                  <c:v>42736</c:v>
                </c:pt>
                <c:pt idx="29">
                  <c:v>42767</c:v>
                </c:pt>
                <c:pt idx="30">
                  <c:v>42795</c:v>
                </c:pt>
                <c:pt idx="31">
                  <c:v>42826</c:v>
                </c:pt>
              </c:numCache>
            </c:numRef>
          </c:cat>
          <c:val>
            <c:numRef>
              <c:f>Sheet1!$K$76:$AP$76</c:f>
              <c:numCache>
                <c:formatCode>0.00</c:formatCode>
                <c:ptCount val="32"/>
                <c:pt idx="0">
                  <c:v>8.25</c:v>
                </c:pt>
                <c:pt idx="1">
                  <c:v>8.1</c:v>
                </c:pt>
                <c:pt idx="2">
                  <c:v>8.11</c:v>
                </c:pt>
                <c:pt idx="3">
                  <c:v>8.0500000000000007</c:v>
                </c:pt>
                <c:pt idx="4">
                  <c:v>8.06</c:v>
                </c:pt>
                <c:pt idx="5">
                  <c:v>8.1999999999999993</c:v>
                </c:pt>
                <c:pt idx="6">
                  <c:v>8.1300000000000008</c:v>
                </c:pt>
                <c:pt idx="7">
                  <c:v>8.41</c:v>
                </c:pt>
                <c:pt idx="8">
                  <c:v>8.73</c:v>
                </c:pt>
                <c:pt idx="9">
                  <c:v>8.8699999999999992</c:v>
                </c:pt>
                <c:pt idx="10">
                  <c:v>9.02</c:v>
                </c:pt>
                <c:pt idx="11">
                  <c:v>9.15</c:v>
                </c:pt>
                <c:pt idx="12">
                  <c:v>9.3800000000000008</c:v>
                </c:pt>
                <c:pt idx="13">
                  <c:v>9.5299999999999994</c:v>
                </c:pt>
                <c:pt idx="14">
                  <c:v>9.51</c:v>
                </c:pt>
                <c:pt idx="15">
                  <c:v>9.52</c:v>
                </c:pt>
                <c:pt idx="16">
                  <c:v>9.64</c:v>
                </c:pt>
                <c:pt idx="17">
                  <c:v>10.31</c:v>
                </c:pt>
                <c:pt idx="18">
                  <c:v>10.9</c:v>
                </c:pt>
                <c:pt idx="19">
                  <c:v>11.54</c:v>
                </c:pt>
                <c:pt idx="20">
                  <c:v>11.69</c:v>
                </c:pt>
                <c:pt idx="21">
                  <c:v>11.83</c:v>
                </c:pt>
                <c:pt idx="22">
                  <c:v>11.98</c:v>
                </c:pt>
                <c:pt idx="23">
                  <c:v>12.24</c:v>
                </c:pt>
                <c:pt idx="24">
                  <c:v>12.41</c:v>
                </c:pt>
                <c:pt idx="25">
                  <c:v>12.35</c:v>
                </c:pt>
                <c:pt idx="26">
                  <c:v>12.65</c:v>
                </c:pt>
                <c:pt idx="27">
                  <c:v>12.8</c:v>
                </c:pt>
                <c:pt idx="28">
                  <c:v>12.87</c:v>
                </c:pt>
                <c:pt idx="29">
                  <c:v>12.91</c:v>
                </c:pt>
                <c:pt idx="30">
                  <c:v>12.5</c:v>
                </c:pt>
                <c:pt idx="31">
                  <c:v>12.39</c:v>
                </c:pt>
              </c:numCache>
            </c:numRef>
          </c:val>
          <c:smooth val="0"/>
        </c:ser>
        <c:ser>
          <c:idx val="2"/>
          <c:order val="2"/>
          <c:tx>
            <c:strRef>
              <c:f>Sheet1!$A$77:$B$77</c:f>
              <c:strCache>
                <c:ptCount val="1"/>
                <c:pt idx="0">
                  <c:v>Super Maize 2.5kg</c:v>
                </c:pt>
              </c:strCache>
            </c:strRef>
          </c:tx>
          <c:marker>
            <c:symbol val="none"/>
          </c:marker>
          <c:cat>
            <c:numRef>
              <c:f>Sheet1!$K$74:$AP$74</c:f>
              <c:numCache>
                <c:formatCode>mmm\-yy</c:formatCode>
                <c:ptCount val="32"/>
                <c:pt idx="0">
                  <c:v>41883</c:v>
                </c:pt>
                <c:pt idx="1">
                  <c:v>41913</c:v>
                </c:pt>
                <c:pt idx="2">
                  <c:v>41944</c:v>
                </c:pt>
                <c:pt idx="3">
                  <c:v>41974</c:v>
                </c:pt>
                <c:pt idx="4">
                  <c:v>42005</c:v>
                </c:pt>
                <c:pt idx="5">
                  <c:v>42036</c:v>
                </c:pt>
                <c:pt idx="6">
                  <c:v>42064</c:v>
                </c:pt>
                <c:pt idx="7">
                  <c:v>42095</c:v>
                </c:pt>
                <c:pt idx="8">
                  <c:v>42125</c:v>
                </c:pt>
                <c:pt idx="9">
                  <c:v>42156</c:v>
                </c:pt>
                <c:pt idx="10">
                  <c:v>42186</c:v>
                </c:pt>
                <c:pt idx="11">
                  <c:v>42217</c:v>
                </c:pt>
                <c:pt idx="12">
                  <c:v>42248</c:v>
                </c:pt>
                <c:pt idx="13">
                  <c:v>42278</c:v>
                </c:pt>
                <c:pt idx="14">
                  <c:v>42309</c:v>
                </c:pt>
                <c:pt idx="15">
                  <c:v>42339</c:v>
                </c:pt>
                <c:pt idx="16">
                  <c:v>42370</c:v>
                </c:pt>
                <c:pt idx="17">
                  <c:v>42401</c:v>
                </c:pt>
                <c:pt idx="18">
                  <c:v>42430</c:v>
                </c:pt>
                <c:pt idx="19">
                  <c:v>42461</c:v>
                </c:pt>
                <c:pt idx="20">
                  <c:v>42491</c:v>
                </c:pt>
                <c:pt idx="21">
                  <c:v>42522</c:v>
                </c:pt>
                <c:pt idx="22">
                  <c:v>42552</c:v>
                </c:pt>
                <c:pt idx="23">
                  <c:v>42583</c:v>
                </c:pt>
                <c:pt idx="24">
                  <c:v>42614</c:v>
                </c:pt>
                <c:pt idx="25">
                  <c:v>42644</c:v>
                </c:pt>
                <c:pt idx="26">
                  <c:v>42675</c:v>
                </c:pt>
                <c:pt idx="27">
                  <c:v>42705</c:v>
                </c:pt>
                <c:pt idx="28">
                  <c:v>42736</c:v>
                </c:pt>
                <c:pt idx="29">
                  <c:v>42767</c:v>
                </c:pt>
                <c:pt idx="30">
                  <c:v>42795</c:v>
                </c:pt>
                <c:pt idx="31">
                  <c:v>42826</c:v>
                </c:pt>
              </c:numCache>
            </c:numRef>
          </c:cat>
          <c:val>
            <c:numRef>
              <c:f>Sheet1!$K$77:$AP$77</c:f>
              <c:numCache>
                <c:formatCode>0.00</c:formatCode>
                <c:ptCount val="32"/>
                <c:pt idx="0">
                  <c:v>18.260000000000002</c:v>
                </c:pt>
                <c:pt idx="1">
                  <c:v>17.93</c:v>
                </c:pt>
                <c:pt idx="2">
                  <c:v>17.46</c:v>
                </c:pt>
                <c:pt idx="3">
                  <c:v>17.41</c:v>
                </c:pt>
                <c:pt idx="4">
                  <c:v>17.64</c:v>
                </c:pt>
                <c:pt idx="5">
                  <c:v>18.41</c:v>
                </c:pt>
                <c:pt idx="6">
                  <c:v>18.71</c:v>
                </c:pt>
                <c:pt idx="7">
                  <c:v>18.86</c:v>
                </c:pt>
                <c:pt idx="8">
                  <c:v>19.989999999999998</c:v>
                </c:pt>
                <c:pt idx="9">
                  <c:v>19.91</c:v>
                </c:pt>
                <c:pt idx="10">
                  <c:v>20.5</c:v>
                </c:pt>
                <c:pt idx="11">
                  <c:v>20.69</c:v>
                </c:pt>
                <c:pt idx="12">
                  <c:v>20.88</c:v>
                </c:pt>
                <c:pt idx="13">
                  <c:v>21.23</c:v>
                </c:pt>
                <c:pt idx="14">
                  <c:v>21.28</c:v>
                </c:pt>
                <c:pt idx="15">
                  <c:v>21.32</c:v>
                </c:pt>
                <c:pt idx="16">
                  <c:v>21.54</c:v>
                </c:pt>
                <c:pt idx="17">
                  <c:v>22.78</c:v>
                </c:pt>
                <c:pt idx="18">
                  <c:v>25.23</c:v>
                </c:pt>
                <c:pt idx="19">
                  <c:v>26.19</c:v>
                </c:pt>
                <c:pt idx="20">
                  <c:v>27.01</c:v>
                </c:pt>
                <c:pt idx="21">
                  <c:v>27.16</c:v>
                </c:pt>
                <c:pt idx="22">
                  <c:v>27.98</c:v>
                </c:pt>
                <c:pt idx="23">
                  <c:v>28.55</c:v>
                </c:pt>
                <c:pt idx="24">
                  <c:v>28.79</c:v>
                </c:pt>
                <c:pt idx="25">
                  <c:v>29.02</c:v>
                </c:pt>
                <c:pt idx="26">
                  <c:v>28.85</c:v>
                </c:pt>
                <c:pt idx="27">
                  <c:v>29.04</c:v>
                </c:pt>
                <c:pt idx="28">
                  <c:v>28.92</c:v>
                </c:pt>
                <c:pt idx="29">
                  <c:v>28.95</c:v>
                </c:pt>
                <c:pt idx="30">
                  <c:v>28.58</c:v>
                </c:pt>
                <c:pt idx="31">
                  <c:v>27.92</c:v>
                </c:pt>
              </c:numCache>
            </c:numRef>
          </c:val>
          <c:smooth val="0"/>
        </c:ser>
        <c:ser>
          <c:idx val="3"/>
          <c:order val="3"/>
          <c:tx>
            <c:strRef>
              <c:f>Sheet1!$A$78:$B$78</c:f>
              <c:strCache>
                <c:ptCount val="1"/>
                <c:pt idx="0">
                  <c:v>(Super Maize) Mealie meal/Maize flour 5kg</c:v>
                </c:pt>
              </c:strCache>
            </c:strRef>
          </c:tx>
          <c:marker>
            <c:symbol val="none"/>
          </c:marker>
          <c:cat>
            <c:numRef>
              <c:f>Sheet1!$K$74:$AP$74</c:f>
              <c:numCache>
                <c:formatCode>mmm\-yy</c:formatCode>
                <c:ptCount val="32"/>
                <c:pt idx="0">
                  <c:v>41883</c:v>
                </c:pt>
                <c:pt idx="1">
                  <c:v>41913</c:v>
                </c:pt>
                <c:pt idx="2">
                  <c:v>41944</c:v>
                </c:pt>
                <c:pt idx="3">
                  <c:v>41974</c:v>
                </c:pt>
                <c:pt idx="4">
                  <c:v>42005</c:v>
                </c:pt>
                <c:pt idx="5">
                  <c:v>42036</c:v>
                </c:pt>
                <c:pt idx="6">
                  <c:v>42064</c:v>
                </c:pt>
                <c:pt idx="7">
                  <c:v>42095</c:v>
                </c:pt>
                <c:pt idx="8">
                  <c:v>42125</c:v>
                </c:pt>
                <c:pt idx="9">
                  <c:v>42156</c:v>
                </c:pt>
                <c:pt idx="10">
                  <c:v>42186</c:v>
                </c:pt>
                <c:pt idx="11">
                  <c:v>42217</c:v>
                </c:pt>
                <c:pt idx="12">
                  <c:v>42248</c:v>
                </c:pt>
                <c:pt idx="13">
                  <c:v>42278</c:v>
                </c:pt>
                <c:pt idx="14">
                  <c:v>42309</c:v>
                </c:pt>
                <c:pt idx="15">
                  <c:v>42339</c:v>
                </c:pt>
                <c:pt idx="16">
                  <c:v>42370</c:v>
                </c:pt>
                <c:pt idx="17">
                  <c:v>42401</c:v>
                </c:pt>
                <c:pt idx="18">
                  <c:v>42430</c:v>
                </c:pt>
                <c:pt idx="19">
                  <c:v>42461</c:v>
                </c:pt>
                <c:pt idx="20">
                  <c:v>42491</c:v>
                </c:pt>
                <c:pt idx="21">
                  <c:v>42522</c:v>
                </c:pt>
                <c:pt idx="22">
                  <c:v>42552</c:v>
                </c:pt>
                <c:pt idx="23">
                  <c:v>42583</c:v>
                </c:pt>
                <c:pt idx="24">
                  <c:v>42614</c:v>
                </c:pt>
                <c:pt idx="25">
                  <c:v>42644</c:v>
                </c:pt>
                <c:pt idx="26">
                  <c:v>42675</c:v>
                </c:pt>
                <c:pt idx="27">
                  <c:v>42705</c:v>
                </c:pt>
                <c:pt idx="28">
                  <c:v>42736</c:v>
                </c:pt>
                <c:pt idx="29">
                  <c:v>42767</c:v>
                </c:pt>
                <c:pt idx="30">
                  <c:v>42795</c:v>
                </c:pt>
                <c:pt idx="31">
                  <c:v>42826</c:v>
                </c:pt>
              </c:numCache>
            </c:numRef>
          </c:cat>
          <c:val>
            <c:numRef>
              <c:f>Sheet1!$K$78:$AP$78</c:f>
              <c:numCache>
                <c:formatCode>0.00</c:formatCode>
                <c:ptCount val="32"/>
                <c:pt idx="0">
                  <c:v>33.229999999999997</c:v>
                </c:pt>
                <c:pt idx="1">
                  <c:v>31.93</c:v>
                </c:pt>
                <c:pt idx="2">
                  <c:v>31.87</c:v>
                </c:pt>
                <c:pt idx="3">
                  <c:v>32.14</c:v>
                </c:pt>
                <c:pt idx="4">
                  <c:v>33.729999999999997</c:v>
                </c:pt>
                <c:pt idx="5">
                  <c:v>33.15</c:v>
                </c:pt>
                <c:pt idx="6">
                  <c:v>33.17</c:v>
                </c:pt>
                <c:pt idx="7">
                  <c:v>34.130000000000003</c:v>
                </c:pt>
                <c:pt idx="8">
                  <c:v>37.19</c:v>
                </c:pt>
                <c:pt idx="9">
                  <c:v>35.880000000000003</c:v>
                </c:pt>
                <c:pt idx="10">
                  <c:v>36.39</c:v>
                </c:pt>
                <c:pt idx="11">
                  <c:v>37.71</c:v>
                </c:pt>
                <c:pt idx="12">
                  <c:v>38.08</c:v>
                </c:pt>
                <c:pt idx="13">
                  <c:v>37.770000000000003</c:v>
                </c:pt>
                <c:pt idx="14">
                  <c:v>38.020000000000003</c:v>
                </c:pt>
                <c:pt idx="15">
                  <c:v>37.74</c:v>
                </c:pt>
                <c:pt idx="16">
                  <c:v>38.880000000000003</c:v>
                </c:pt>
                <c:pt idx="17">
                  <c:v>41.31</c:v>
                </c:pt>
                <c:pt idx="18">
                  <c:v>45.85</c:v>
                </c:pt>
                <c:pt idx="19">
                  <c:v>49.06</c:v>
                </c:pt>
                <c:pt idx="20">
                  <c:v>50.64</c:v>
                </c:pt>
                <c:pt idx="21">
                  <c:v>50.92</c:v>
                </c:pt>
                <c:pt idx="22">
                  <c:v>50.59</c:v>
                </c:pt>
                <c:pt idx="23">
                  <c:v>52.86</c:v>
                </c:pt>
                <c:pt idx="24">
                  <c:v>52.83</c:v>
                </c:pt>
                <c:pt idx="25">
                  <c:v>52.06</c:v>
                </c:pt>
                <c:pt idx="26">
                  <c:v>52.58</c:v>
                </c:pt>
                <c:pt idx="27">
                  <c:v>52.87</c:v>
                </c:pt>
                <c:pt idx="28">
                  <c:v>54.39</c:v>
                </c:pt>
                <c:pt idx="29">
                  <c:v>52.53</c:v>
                </c:pt>
                <c:pt idx="30">
                  <c:v>52.6</c:v>
                </c:pt>
                <c:pt idx="31">
                  <c:v>50.34</c:v>
                </c:pt>
              </c:numCache>
            </c:numRef>
          </c:val>
          <c:smooth val="0"/>
        </c:ser>
        <c:ser>
          <c:idx val="4"/>
          <c:order val="4"/>
          <c:tx>
            <c:strRef>
              <c:f>Sheet1!$A$79:$B$79</c:f>
              <c:strCache>
                <c:ptCount val="1"/>
                <c:pt idx="0">
                  <c:v>(Special Maize) Mealie meal/Maize flour 1kg</c:v>
                </c:pt>
              </c:strCache>
            </c:strRef>
          </c:tx>
          <c:marker>
            <c:symbol val="none"/>
          </c:marker>
          <c:cat>
            <c:numRef>
              <c:f>Sheet1!$K$74:$AP$74</c:f>
              <c:numCache>
                <c:formatCode>mmm\-yy</c:formatCode>
                <c:ptCount val="32"/>
                <c:pt idx="0">
                  <c:v>41883</c:v>
                </c:pt>
                <c:pt idx="1">
                  <c:v>41913</c:v>
                </c:pt>
                <c:pt idx="2">
                  <c:v>41944</c:v>
                </c:pt>
                <c:pt idx="3">
                  <c:v>41974</c:v>
                </c:pt>
                <c:pt idx="4">
                  <c:v>42005</c:v>
                </c:pt>
                <c:pt idx="5">
                  <c:v>42036</c:v>
                </c:pt>
                <c:pt idx="6">
                  <c:v>42064</c:v>
                </c:pt>
                <c:pt idx="7">
                  <c:v>42095</c:v>
                </c:pt>
                <c:pt idx="8">
                  <c:v>42125</c:v>
                </c:pt>
                <c:pt idx="9">
                  <c:v>42156</c:v>
                </c:pt>
                <c:pt idx="10">
                  <c:v>42186</c:v>
                </c:pt>
                <c:pt idx="11">
                  <c:v>42217</c:v>
                </c:pt>
                <c:pt idx="12">
                  <c:v>42248</c:v>
                </c:pt>
                <c:pt idx="13">
                  <c:v>42278</c:v>
                </c:pt>
                <c:pt idx="14">
                  <c:v>42309</c:v>
                </c:pt>
                <c:pt idx="15">
                  <c:v>42339</c:v>
                </c:pt>
                <c:pt idx="16">
                  <c:v>42370</c:v>
                </c:pt>
                <c:pt idx="17">
                  <c:v>42401</c:v>
                </c:pt>
                <c:pt idx="18">
                  <c:v>42430</c:v>
                </c:pt>
                <c:pt idx="19">
                  <c:v>42461</c:v>
                </c:pt>
                <c:pt idx="20">
                  <c:v>42491</c:v>
                </c:pt>
                <c:pt idx="21">
                  <c:v>42522</c:v>
                </c:pt>
                <c:pt idx="22">
                  <c:v>42552</c:v>
                </c:pt>
                <c:pt idx="23">
                  <c:v>42583</c:v>
                </c:pt>
                <c:pt idx="24">
                  <c:v>42614</c:v>
                </c:pt>
                <c:pt idx="25">
                  <c:v>42644</c:v>
                </c:pt>
                <c:pt idx="26">
                  <c:v>42675</c:v>
                </c:pt>
                <c:pt idx="27">
                  <c:v>42705</c:v>
                </c:pt>
                <c:pt idx="28">
                  <c:v>42736</c:v>
                </c:pt>
                <c:pt idx="29">
                  <c:v>42767</c:v>
                </c:pt>
                <c:pt idx="30">
                  <c:v>42795</c:v>
                </c:pt>
                <c:pt idx="31">
                  <c:v>42826</c:v>
                </c:pt>
              </c:numCache>
            </c:numRef>
          </c:cat>
          <c:val>
            <c:numRef>
              <c:f>Sheet1!$K$79:$AP$79</c:f>
              <c:numCache>
                <c:formatCode>0.00</c:formatCode>
                <c:ptCount val="32"/>
                <c:pt idx="0">
                  <c:v>6.76</c:v>
                </c:pt>
                <c:pt idx="1">
                  <c:v>5.93</c:v>
                </c:pt>
                <c:pt idx="2">
                  <c:v>5.89</c:v>
                </c:pt>
                <c:pt idx="3">
                  <c:v>5.77</c:v>
                </c:pt>
                <c:pt idx="4">
                  <c:v>5.53</c:v>
                </c:pt>
                <c:pt idx="5">
                  <c:v>5.89</c:v>
                </c:pt>
                <c:pt idx="6">
                  <c:v>5.85</c:v>
                </c:pt>
                <c:pt idx="7">
                  <c:v>5.86</c:v>
                </c:pt>
                <c:pt idx="8">
                  <c:v>6.06</c:v>
                </c:pt>
                <c:pt idx="9">
                  <c:v>6.08</c:v>
                </c:pt>
                <c:pt idx="10">
                  <c:v>6.34</c:v>
                </c:pt>
                <c:pt idx="11">
                  <c:v>6.67</c:v>
                </c:pt>
                <c:pt idx="12">
                  <c:v>6.56</c:v>
                </c:pt>
                <c:pt idx="13">
                  <c:v>6.59</c:v>
                </c:pt>
                <c:pt idx="14">
                  <c:v>6.75</c:v>
                </c:pt>
                <c:pt idx="15">
                  <c:v>6.77</c:v>
                </c:pt>
                <c:pt idx="16">
                  <c:v>7.37</c:v>
                </c:pt>
                <c:pt idx="17">
                  <c:v>8.93</c:v>
                </c:pt>
                <c:pt idx="18">
                  <c:v>10.17</c:v>
                </c:pt>
                <c:pt idx="19">
                  <c:v>10.19</c:v>
                </c:pt>
                <c:pt idx="20">
                  <c:v>10.4</c:v>
                </c:pt>
                <c:pt idx="21">
                  <c:v>10.29</c:v>
                </c:pt>
                <c:pt idx="22">
                  <c:v>10.73</c:v>
                </c:pt>
                <c:pt idx="23">
                  <c:v>10.89</c:v>
                </c:pt>
                <c:pt idx="24">
                  <c:v>10.86</c:v>
                </c:pt>
                <c:pt idx="25">
                  <c:v>10.79</c:v>
                </c:pt>
                <c:pt idx="26">
                  <c:v>11.1</c:v>
                </c:pt>
                <c:pt idx="27">
                  <c:v>11.24</c:v>
                </c:pt>
                <c:pt idx="28">
                  <c:v>11.51</c:v>
                </c:pt>
                <c:pt idx="29">
                  <c:v>11.43</c:v>
                </c:pt>
                <c:pt idx="30">
                  <c:v>11.1</c:v>
                </c:pt>
                <c:pt idx="31">
                  <c:v>10.99</c:v>
                </c:pt>
              </c:numCache>
            </c:numRef>
          </c:val>
          <c:smooth val="0"/>
        </c:ser>
        <c:ser>
          <c:idx val="5"/>
          <c:order val="5"/>
          <c:tx>
            <c:strRef>
              <c:f>Sheet1!$A$80:$B$80</c:f>
              <c:strCache>
                <c:ptCount val="1"/>
                <c:pt idx="0">
                  <c:v>(Special Maize) Mealie meal/Maize flour  2,5kg</c:v>
                </c:pt>
              </c:strCache>
            </c:strRef>
          </c:tx>
          <c:marker>
            <c:symbol val="none"/>
          </c:marker>
          <c:cat>
            <c:numRef>
              <c:f>Sheet1!$K$74:$AP$74</c:f>
              <c:numCache>
                <c:formatCode>mmm\-yy</c:formatCode>
                <c:ptCount val="32"/>
                <c:pt idx="0">
                  <c:v>41883</c:v>
                </c:pt>
                <c:pt idx="1">
                  <c:v>41913</c:v>
                </c:pt>
                <c:pt idx="2">
                  <c:v>41944</c:v>
                </c:pt>
                <c:pt idx="3">
                  <c:v>41974</c:v>
                </c:pt>
                <c:pt idx="4">
                  <c:v>42005</c:v>
                </c:pt>
                <c:pt idx="5">
                  <c:v>42036</c:v>
                </c:pt>
                <c:pt idx="6">
                  <c:v>42064</c:v>
                </c:pt>
                <c:pt idx="7">
                  <c:v>42095</c:v>
                </c:pt>
                <c:pt idx="8">
                  <c:v>42125</c:v>
                </c:pt>
                <c:pt idx="9">
                  <c:v>42156</c:v>
                </c:pt>
                <c:pt idx="10">
                  <c:v>42186</c:v>
                </c:pt>
                <c:pt idx="11">
                  <c:v>42217</c:v>
                </c:pt>
                <c:pt idx="12">
                  <c:v>42248</c:v>
                </c:pt>
                <c:pt idx="13">
                  <c:v>42278</c:v>
                </c:pt>
                <c:pt idx="14">
                  <c:v>42309</c:v>
                </c:pt>
                <c:pt idx="15">
                  <c:v>42339</c:v>
                </c:pt>
                <c:pt idx="16">
                  <c:v>42370</c:v>
                </c:pt>
                <c:pt idx="17">
                  <c:v>42401</c:v>
                </c:pt>
                <c:pt idx="18">
                  <c:v>42430</c:v>
                </c:pt>
                <c:pt idx="19">
                  <c:v>42461</c:v>
                </c:pt>
                <c:pt idx="20">
                  <c:v>42491</c:v>
                </c:pt>
                <c:pt idx="21">
                  <c:v>42522</c:v>
                </c:pt>
                <c:pt idx="22">
                  <c:v>42552</c:v>
                </c:pt>
                <c:pt idx="23">
                  <c:v>42583</c:v>
                </c:pt>
                <c:pt idx="24">
                  <c:v>42614</c:v>
                </c:pt>
                <c:pt idx="25">
                  <c:v>42644</c:v>
                </c:pt>
                <c:pt idx="26">
                  <c:v>42675</c:v>
                </c:pt>
                <c:pt idx="27">
                  <c:v>42705</c:v>
                </c:pt>
                <c:pt idx="28">
                  <c:v>42736</c:v>
                </c:pt>
                <c:pt idx="29">
                  <c:v>42767</c:v>
                </c:pt>
                <c:pt idx="30">
                  <c:v>42795</c:v>
                </c:pt>
                <c:pt idx="31">
                  <c:v>42826</c:v>
                </c:pt>
              </c:numCache>
            </c:numRef>
          </c:cat>
          <c:val>
            <c:numRef>
              <c:f>Sheet1!$K$80:$AP$80</c:f>
              <c:numCache>
                <c:formatCode>0.00</c:formatCode>
                <c:ptCount val="32"/>
                <c:pt idx="0">
                  <c:v>15.77</c:v>
                </c:pt>
                <c:pt idx="1">
                  <c:v>15.15</c:v>
                </c:pt>
                <c:pt idx="2">
                  <c:v>14.17</c:v>
                </c:pt>
                <c:pt idx="3">
                  <c:v>13.62</c:v>
                </c:pt>
                <c:pt idx="4">
                  <c:v>13.43</c:v>
                </c:pt>
                <c:pt idx="5">
                  <c:v>14.58</c:v>
                </c:pt>
                <c:pt idx="6">
                  <c:v>15.12</c:v>
                </c:pt>
                <c:pt idx="7">
                  <c:v>14.81</c:v>
                </c:pt>
                <c:pt idx="8">
                  <c:v>14.63</c:v>
                </c:pt>
                <c:pt idx="9">
                  <c:v>14.92</c:v>
                </c:pt>
                <c:pt idx="10">
                  <c:v>15.14</c:v>
                </c:pt>
                <c:pt idx="11">
                  <c:v>15.06</c:v>
                </c:pt>
                <c:pt idx="12">
                  <c:v>15.15</c:v>
                </c:pt>
                <c:pt idx="13">
                  <c:v>15.33</c:v>
                </c:pt>
                <c:pt idx="14">
                  <c:v>15.52</c:v>
                </c:pt>
                <c:pt idx="15">
                  <c:v>15.6</c:v>
                </c:pt>
                <c:pt idx="16">
                  <c:v>16.39</c:v>
                </c:pt>
                <c:pt idx="17">
                  <c:v>19.47</c:v>
                </c:pt>
                <c:pt idx="18">
                  <c:v>23.81</c:v>
                </c:pt>
                <c:pt idx="19">
                  <c:v>23.97</c:v>
                </c:pt>
                <c:pt idx="20">
                  <c:v>24.26</c:v>
                </c:pt>
                <c:pt idx="21">
                  <c:v>23.98</c:v>
                </c:pt>
                <c:pt idx="22">
                  <c:v>24.79</c:v>
                </c:pt>
                <c:pt idx="23">
                  <c:v>25.17</c:v>
                </c:pt>
                <c:pt idx="24">
                  <c:v>24.98</c:v>
                </c:pt>
                <c:pt idx="25">
                  <c:v>25.11</c:v>
                </c:pt>
                <c:pt idx="26">
                  <c:v>25.75</c:v>
                </c:pt>
                <c:pt idx="27">
                  <c:v>26.14</c:v>
                </c:pt>
                <c:pt idx="28">
                  <c:v>26.47</c:v>
                </c:pt>
                <c:pt idx="29">
                  <c:v>26.56</c:v>
                </c:pt>
                <c:pt idx="30">
                  <c:v>25.24</c:v>
                </c:pt>
                <c:pt idx="31">
                  <c:v>24.7</c:v>
                </c:pt>
              </c:numCache>
            </c:numRef>
          </c:val>
          <c:smooth val="0"/>
        </c:ser>
        <c:dLbls>
          <c:showLegendKey val="0"/>
          <c:showVal val="0"/>
          <c:showCatName val="0"/>
          <c:showSerName val="0"/>
          <c:showPercent val="0"/>
          <c:showBubbleSize val="0"/>
        </c:dLbls>
        <c:marker val="1"/>
        <c:smooth val="0"/>
        <c:axId val="554701184"/>
        <c:axId val="554702720"/>
      </c:lineChart>
      <c:lineChart>
        <c:grouping val="standard"/>
        <c:varyColors val="0"/>
        <c:ser>
          <c:idx val="0"/>
          <c:order val="0"/>
          <c:tx>
            <c:strRef>
              <c:f>Sheet1!$A$75:$B$75</c:f>
              <c:strCache>
                <c:ptCount val="1"/>
                <c:pt idx="0">
                  <c:v>White maize R/t</c:v>
                </c:pt>
              </c:strCache>
            </c:strRef>
          </c:tx>
          <c:marker>
            <c:symbol val="none"/>
          </c:marker>
          <c:cat>
            <c:numRef>
              <c:f>Sheet1!$K$74:$AP$74</c:f>
              <c:numCache>
                <c:formatCode>mmm\-yy</c:formatCode>
                <c:ptCount val="32"/>
                <c:pt idx="0">
                  <c:v>41883</c:v>
                </c:pt>
                <c:pt idx="1">
                  <c:v>41913</c:v>
                </c:pt>
                <c:pt idx="2">
                  <c:v>41944</c:v>
                </c:pt>
                <c:pt idx="3">
                  <c:v>41974</c:v>
                </c:pt>
                <c:pt idx="4">
                  <c:v>42005</c:v>
                </c:pt>
                <c:pt idx="5">
                  <c:v>42036</c:v>
                </c:pt>
                <c:pt idx="6">
                  <c:v>42064</c:v>
                </c:pt>
                <c:pt idx="7">
                  <c:v>42095</c:v>
                </c:pt>
                <c:pt idx="8">
                  <c:v>42125</c:v>
                </c:pt>
                <c:pt idx="9">
                  <c:v>42156</c:v>
                </c:pt>
                <c:pt idx="10">
                  <c:v>42186</c:v>
                </c:pt>
                <c:pt idx="11">
                  <c:v>42217</c:v>
                </c:pt>
                <c:pt idx="12">
                  <c:v>42248</c:v>
                </c:pt>
                <c:pt idx="13">
                  <c:v>42278</c:v>
                </c:pt>
                <c:pt idx="14">
                  <c:v>42309</c:v>
                </c:pt>
                <c:pt idx="15">
                  <c:v>42339</c:v>
                </c:pt>
                <c:pt idx="16">
                  <c:v>42370</c:v>
                </c:pt>
                <c:pt idx="17">
                  <c:v>42401</c:v>
                </c:pt>
                <c:pt idx="18">
                  <c:v>42430</c:v>
                </c:pt>
                <c:pt idx="19">
                  <c:v>42461</c:v>
                </c:pt>
                <c:pt idx="20">
                  <c:v>42491</c:v>
                </c:pt>
                <c:pt idx="21">
                  <c:v>42522</c:v>
                </c:pt>
                <c:pt idx="22">
                  <c:v>42552</c:v>
                </c:pt>
                <c:pt idx="23">
                  <c:v>42583</c:v>
                </c:pt>
                <c:pt idx="24">
                  <c:v>42614</c:v>
                </c:pt>
                <c:pt idx="25">
                  <c:v>42644</c:v>
                </c:pt>
                <c:pt idx="26">
                  <c:v>42675</c:v>
                </c:pt>
                <c:pt idx="27">
                  <c:v>42705</c:v>
                </c:pt>
                <c:pt idx="28">
                  <c:v>42736</c:v>
                </c:pt>
                <c:pt idx="29">
                  <c:v>42767</c:v>
                </c:pt>
                <c:pt idx="30">
                  <c:v>42795</c:v>
                </c:pt>
                <c:pt idx="31">
                  <c:v>42826</c:v>
                </c:pt>
              </c:numCache>
            </c:numRef>
          </c:cat>
          <c:val>
            <c:numRef>
              <c:f>Sheet1!$K$75:$AP$75</c:f>
              <c:numCache>
                <c:formatCode>0.00</c:formatCode>
                <c:ptCount val="32"/>
                <c:pt idx="0">
                  <c:v>1723.1904761904761</c:v>
                </c:pt>
                <c:pt idx="1">
                  <c:v>1912.0666666666666</c:v>
                </c:pt>
                <c:pt idx="2">
                  <c:v>1973.3</c:v>
                </c:pt>
                <c:pt idx="3">
                  <c:v>2108.1999999999998</c:v>
                </c:pt>
                <c:pt idx="4">
                  <c:v>2012.3809523809523</c:v>
                </c:pt>
                <c:pt idx="5">
                  <c:v>2553</c:v>
                </c:pt>
                <c:pt idx="6">
                  <c:v>2647.681818181818</c:v>
                </c:pt>
                <c:pt idx="7">
                  <c:v>2559.4736842105262</c:v>
                </c:pt>
                <c:pt idx="8">
                  <c:v>2740.65</c:v>
                </c:pt>
                <c:pt idx="9">
                  <c:v>2886.4285714285716</c:v>
                </c:pt>
                <c:pt idx="10">
                  <c:v>3170.608695652174</c:v>
                </c:pt>
                <c:pt idx="11">
                  <c:v>3049.85</c:v>
                </c:pt>
                <c:pt idx="12">
                  <c:v>3116.4761904761904</c:v>
                </c:pt>
                <c:pt idx="13">
                  <c:v>3139.409090909091</c:v>
                </c:pt>
                <c:pt idx="14">
                  <c:v>3216.35</c:v>
                </c:pt>
                <c:pt idx="15">
                  <c:v>3959.5</c:v>
                </c:pt>
                <c:pt idx="16">
                  <c:v>4949.6499999999996</c:v>
                </c:pt>
                <c:pt idx="17">
                  <c:v>4991.5714285714284</c:v>
                </c:pt>
                <c:pt idx="18">
                  <c:v>4835.75</c:v>
                </c:pt>
                <c:pt idx="19">
                  <c:v>4512.8</c:v>
                </c:pt>
                <c:pt idx="20">
                  <c:v>4863.8571428571431</c:v>
                </c:pt>
                <c:pt idx="21">
                  <c:v>4781.7619047619046</c:v>
                </c:pt>
                <c:pt idx="22">
                  <c:v>4453.4495182439996</c:v>
                </c:pt>
                <c:pt idx="23">
                  <c:v>4137.3446381079048</c:v>
                </c:pt>
                <c:pt idx="24">
                  <c:v>3922.7154307052274</c:v>
                </c:pt>
                <c:pt idx="25">
                  <c:v>3545.8673622817623</c:v>
                </c:pt>
                <c:pt idx="26">
                  <c:v>3789.8301008455001</c:v>
                </c:pt>
                <c:pt idx="27">
                  <c:v>3995.9661127310524</c:v>
                </c:pt>
                <c:pt idx="28">
                  <c:v>3403.1820803051905</c:v>
                </c:pt>
                <c:pt idx="29" formatCode="General">
                  <c:v>2935</c:v>
                </c:pt>
                <c:pt idx="30" formatCode="General">
                  <c:v>2136</c:v>
                </c:pt>
                <c:pt idx="31" formatCode="General">
                  <c:v>2006</c:v>
                </c:pt>
              </c:numCache>
            </c:numRef>
          </c:val>
          <c:smooth val="0"/>
        </c:ser>
        <c:dLbls>
          <c:showLegendKey val="0"/>
          <c:showVal val="0"/>
          <c:showCatName val="0"/>
          <c:showSerName val="0"/>
          <c:showPercent val="0"/>
          <c:showBubbleSize val="0"/>
        </c:dLbls>
        <c:marker val="1"/>
        <c:smooth val="0"/>
        <c:axId val="554715008"/>
        <c:axId val="554713088"/>
      </c:lineChart>
      <c:dateAx>
        <c:axId val="554701184"/>
        <c:scaling>
          <c:orientation val="minMax"/>
          <c:max val="42826"/>
        </c:scaling>
        <c:delete val="0"/>
        <c:axPos val="b"/>
        <c:numFmt formatCode="mmm\-yy" sourceLinked="1"/>
        <c:majorTickMark val="none"/>
        <c:minorTickMark val="none"/>
        <c:tickLblPos val="nextTo"/>
        <c:txPr>
          <a:bodyPr rot="-5400000" vert="horz"/>
          <a:lstStyle/>
          <a:p>
            <a:pPr>
              <a:defRPr/>
            </a:pPr>
            <a:endParaRPr lang="en-US"/>
          </a:p>
        </c:txPr>
        <c:crossAx val="554702720"/>
        <c:crosses val="autoZero"/>
        <c:auto val="1"/>
        <c:lblOffset val="100"/>
        <c:baseTimeUnit val="months"/>
        <c:majorUnit val="1"/>
        <c:majorTimeUnit val="months"/>
      </c:dateAx>
      <c:valAx>
        <c:axId val="554702720"/>
        <c:scaling>
          <c:orientation val="minMax"/>
        </c:scaling>
        <c:delete val="0"/>
        <c:axPos val="l"/>
        <c:majorGridlines/>
        <c:title>
          <c:tx>
            <c:rich>
              <a:bodyPr/>
              <a:lstStyle/>
              <a:p>
                <a:pPr>
                  <a:defRPr/>
                </a:pPr>
                <a:r>
                  <a:rPr lang="en-ZA"/>
                  <a:t>Rand Price</a:t>
                </a:r>
              </a:p>
            </c:rich>
          </c:tx>
          <c:overlay val="0"/>
        </c:title>
        <c:numFmt formatCode="0.00" sourceLinked="1"/>
        <c:majorTickMark val="none"/>
        <c:minorTickMark val="none"/>
        <c:tickLblPos val="nextTo"/>
        <c:crossAx val="554701184"/>
        <c:crosses val="autoZero"/>
        <c:crossBetween val="between"/>
      </c:valAx>
      <c:valAx>
        <c:axId val="554713088"/>
        <c:scaling>
          <c:orientation val="minMax"/>
        </c:scaling>
        <c:delete val="0"/>
        <c:axPos val="r"/>
        <c:title>
          <c:tx>
            <c:rich>
              <a:bodyPr/>
              <a:lstStyle/>
              <a:p>
                <a:pPr>
                  <a:defRPr/>
                </a:pPr>
                <a:r>
                  <a:rPr lang="en-ZA"/>
                  <a:t>R/Ton</a:t>
                </a:r>
              </a:p>
            </c:rich>
          </c:tx>
          <c:overlay val="0"/>
        </c:title>
        <c:numFmt formatCode="0.00" sourceLinked="1"/>
        <c:majorTickMark val="out"/>
        <c:minorTickMark val="none"/>
        <c:tickLblPos val="nextTo"/>
        <c:crossAx val="554715008"/>
        <c:crosses val="max"/>
        <c:crossBetween val="between"/>
      </c:valAx>
      <c:dateAx>
        <c:axId val="554715008"/>
        <c:scaling>
          <c:orientation val="minMax"/>
        </c:scaling>
        <c:delete val="1"/>
        <c:axPos val="b"/>
        <c:numFmt formatCode="mmm\-yy" sourceLinked="1"/>
        <c:majorTickMark val="out"/>
        <c:minorTickMark val="none"/>
        <c:tickLblPos val="nextTo"/>
        <c:crossAx val="554713088"/>
        <c:crosses val="autoZero"/>
        <c:auto val="1"/>
        <c:lblOffset val="100"/>
        <c:baseTimeUnit val="months"/>
      </c:dateAx>
    </c:plotArea>
    <c:legend>
      <c:legendPos val="b"/>
      <c:layout>
        <c:manualLayout>
          <c:xMode val="edge"/>
          <c:yMode val="edge"/>
          <c:x val="0"/>
          <c:y val="0.78331502235217554"/>
          <c:w val="1"/>
          <c:h val="0.19455497345706388"/>
        </c:manualLayout>
      </c:layout>
      <c:overlay val="0"/>
    </c:legend>
    <c:plotVisOnly val="1"/>
    <c:dispBlanksAs val="gap"/>
    <c:showDLblsOverMax val="0"/>
  </c:chart>
  <c:spPr>
    <a:solidFill>
      <a:schemeClr val="accent3">
        <a:lumMod val="40000"/>
        <a:lumOff val="60000"/>
      </a:schemeClr>
    </a:solidFill>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'Graphs '!$A$126</c:f>
              <c:strCache>
                <c:ptCount val="1"/>
                <c:pt idx="0">
                  <c:v>Producer deliveries</c:v>
                </c:pt>
              </c:strCache>
            </c:strRef>
          </c:tx>
          <c:spPr>
            <a:solidFill>
              <a:srgbClr val="D8A851"/>
            </a:solidFill>
          </c:spPr>
          <c:invertIfNegative val="0"/>
          <c:cat>
            <c:strRef>
              <c:f>'Graphs '!$B$125:$J$125</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'Graphs '!$B$126:$J$126</c:f>
              <c:numCache>
                <c:formatCode>###\ ###\ ###</c:formatCode>
                <c:ptCount val="9"/>
                <c:pt idx="0">
                  <c:v>221089</c:v>
                </c:pt>
                <c:pt idx="1">
                  <c:v>2735776</c:v>
                </c:pt>
                <c:pt idx="2">
                  <c:v>1524486</c:v>
                </c:pt>
                <c:pt idx="3">
                  <c:v>175266</c:v>
                </c:pt>
                <c:pt idx="4">
                  <c:v>323159</c:v>
                </c:pt>
                <c:pt idx="5">
                  <c:v>1277782</c:v>
                </c:pt>
                <c:pt idx="6">
                  <c:v>1692732</c:v>
                </c:pt>
                <c:pt idx="7" formatCode="###,###,###">
                  <c:v>92222</c:v>
                </c:pt>
                <c:pt idx="8" formatCode="###,###,###">
                  <c:v>416585</c:v>
                </c:pt>
              </c:numCache>
            </c:numRef>
          </c:val>
        </c:ser>
        <c:ser>
          <c:idx val="1"/>
          <c:order val="1"/>
          <c:tx>
            <c:strRef>
              <c:f>'Graphs '!$A$127</c:f>
              <c:strCache>
                <c:ptCount val="1"/>
                <c:pt idx="0">
                  <c:v>Local Demand</c:v>
                </c:pt>
              </c:strCache>
            </c:strRef>
          </c:tx>
          <c:invertIfNegative val="0"/>
          <c:cat>
            <c:strRef>
              <c:f>'Graphs '!$B$125:$J$125</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'Graphs '!$B$127:$J$127</c:f>
              <c:numCache>
                <c:formatCode>###\ ###\ ###</c:formatCode>
                <c:ptCount val="9"/>
                <c:pt idx="0">
                  <c:v>1431574</c:v>
                </c:pt>
                <c:pt idx="1">
                  <c:v>1092549</c:v>
                </c:pt>
                <c:pt idx="2">
                  <c:v>1124869</c:v>
                </c:pt>
                <c:pt idx="3">
                  <c:v>1117388</c:v>
                </c:pt>
                <c:pt idx="4">
                  <c:v>1034578</c:v>
                </c:pt>
                <c:pt idx="5">
                  <c:v>1087579</c:v>
                </c:pt>
                <c:pt idx="6">
                  <c:v>1051515</c:v>
                </c:pt>
                <c:pt idx="7" formatCode="###,###,###">
                  <c:v>1084447</c:v>
                </c:pt>
                <c:pt idx="8" formatCode="###,###,###">
                  <c:v>1067201</c:v>
                </c:pt>
              </c:numCache>
            </c:numRef>
          </c:val>
        </c:ser>
        <c:ser>
          <c:idx val="2"/>
          <c:order val="2"/>
          <c:tx>
            <c:strRef>
              <c:f>'Graphs '!$A$128</c:f>
              <c:strCache>
                <c:ptCount val="1"/>
                <c:pt idx="0">
                  <c:v>Exports</c:v>
                </c:pt>
              </c:strCache>
            </c:strRef>
          </c:tx>
          <c:invertIfNegative val="0"/>
          <c:cat>
            <c:strRef>
              <c:f>'Graphs '!$B$125:$J$125</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'Graphs '!$B$128:$J$128</c:f>
              <c:numCache>
                <c:formatCode>###\ ###\ ###</c:formatCode>
                <c:ptCount val="9"/>
                <c:pt idx="0">
                  <c:v>166842</c:v>
                </c:pt>
                <c:pt idx="1">
                  <c:v>135336</c:v>
                </c:pt>
                <c:pt idx="2">
                  <c:v>117560</c:v>
                </c:pt>
                <c:pt idx="3">
                  <c:v>146160</c:v>
                </c:pt>
                <c:pt idx="4">
                  <c:v>154627</c:v>
                </c:pt>
                <c:pt idx="5">
                  <c:v>160447</c:v>
                </c:pt>
                <c:pt idx="6">
                  <c:v>131630</c:v>
                </c:pt>
                <c:pt idx="7" formatCode="###,###,###">
                  <c:v>140878</c:v>
                </c:pt>
                <c:pt idx="8" formatCode="###,###,###">
                  <c:v>165801</c:v>
                </c:pt>
              </c:numCache>
            </c:numRef>
          </c:val>
        </c:ser>
        <c:ser>
          <c:idx val="3"/>
          <c:order val="3"/>
          <c:tx>
            <c:strRef>
              <c:f>'Graphs '!$A$129</c:f>
              <c:strCache>
                <c:ptCount val="1"/>
                <c:pt idx="0">
                  <c:v>Imports </c:v>
                </c:pt>
              </c:strCache>
            </c:strRef>
          </c:tx>
          <c:invertIfNegative val="0"/>
          <c:cat>
            <c:strRef>
              <c:f>'Graphs '!$B$125:$J$125</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'Graphs '!$B$129:$J$129</c:f>
              <c:numCache>
                <c:formatCode>General</c:formatCode>
                <c:ptCount val="9"/>
                <c:pt idx="7" formatCode="###,###,###">
                  <c:v>262008</c:v>
                </c:pt>
                <c:pt idx="8" formatCode="###,###,###">
                  <c:v>103964</c:v>
                </c:pt>
              </c:numCache>
            </c:numRef>
          </c:val>
        </c:ser>
        <c:ser>
          <c:idx val="4"/>
          <c:order val="4"/>
          <c:tx>
            <c:strRef>
              <c:f>'Graphs '!$A$130</c:f>
              <c:strCache>
                <c:ptCount val="1"/>
                <c:pt idx="0">
                  <c:v>Surplus</c:v>
                </c:pt>
              </c:strCache>
            </c:strRef>
          </c:tx>
          <c:invertIfNegative val="0"/>
          <c:cat>
            <c:strRef>
              <c:f>'Graphs '!$B$125:$J$125</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'Graphs '!$B$130:$J$130</c:f>
              <c:numCache>
                <c:formatCode>###\ ###\ ###</c:formatCode>
                <c:ptCount val="9"/>
                <c:pt idx="0">
                  <c:v>8914</c:v>
                </c:pt>
                <c:pt idx="1">
                  <c:v>2115</c:v>
                </c:pt>
                <c:pt idx="2">
                  <c:v>3562</c:v>
                </c:pt>
                <c:pt idx="3">
                  <c:v>4433</c:v>
                </c:pt>
                <c:pt idx="4">
                  <c:v>8357</c:v>
                </c:pt>
                <c:pt idx="5">
                  <c:v>12387</c:v>
                </c:pt>
                <c:pt idx="6">
                  <c:v>10065</c:v>
                </c:pt>
                <c:pt idx="7" formatCode="###,###,###">
                  <c:v>9177</c:v>
                </c:pt>
                <c:pt idx="8" formatCode="###,###,###">
                  <c:v>4714</c:v>
                </c:pt>
              </c:numCache>
            </c:numRef>
          </c:val>
        </c:ser>
        <c:dLbls>
          <c:showLegendKey val="0"/>
          <c:showVal val="0"/>
          <c:showCatName val="0"/>
          <c:showSerName val="0"/>
          <c:showPercent val="0"/>
          <c:showBubbleSize val="0"/>
        </c:dLbls>
        <c:gapWidth val="150"/>
        <c:axId val="554803968"/>
        <c:axId val="554805504"/>
      </c:barChart>
      <c:catAx>
        <c:axId val="554803968"/>
        <c:scaling>
          <c:orientation val="minMax"/>
        </c:scaling>
        <c:delete val="0"/>
        <c:axPos val="b"/>
        <c:majorTickMark val="out"/>
        <c:minorTickMark val="none"/>
        <c:tickLblPos val="nextTo"/>
        <c:crossAx val="554805504"/>
        <c:crosses val="autoZero"/>
        <c:auto val="1"/>
        <c:lblAlgn val="ctr"/>
        <c:lblOffset val="100"/>
        <c:noMultiLvlLbl val="0"/>
      </c:catAx>
      <c:valAx>
        <c:axId val="554805504"/>
        <c:scaling>
          <c:orientation val="minMax"/>
        </c:scaling>
        <c:delete val="0"/>
        <c:axPos val="l"/>
        <c:majorGridlines/>
        <c:numFmt formatCode="###\ ###\ ###" sourceLinked="1"/>
        <c:majorTickMark val="out"/>
        <c:minorTickMark val="none"/>
        <c:tickLblPos val="nextTo"/>
        <c:crossAx val="554803968"/>
        <c:crosses val="autoZero"/>
        <c:crossBetween val="between"/>
        <c:dispUnits>
          <c:builtInUnit val="thousands"/>
          <c:dispUnitsLbl>
            <c:layout>
              <c:manualLayout>
                <c:xMode val="edge"/>
                <c:yMode val="edge"/>
                <c:x val="1.9500304692260818E-2"/>
                <c:y val="0.33376060818917591"/>
              </c:manualLayout>
            </c:layout>
            <c:tx>
              <c:rich>
                <a:bodyPr/>
                <a:lstStyle/>
                <a:p>
                  <a:pPr>
                    <a:defRPr/>
                  </a:pPr>
                  <a:r>
                    <a:rPr lang="en-ZA"/>
                    <a:t>Thousands Tons</a:t>
                  </a:r>
                </a:p>
              </c:rich>
            </c:tx>
          </c:dispUnitsLbl>
        </c:dispUnits>
      </c:valAx>
    </c:plotArea>
    <c:legend>
      <c:legendPos val="b"/>
      <c:overlay val="0"/>
    </c:legend>
    <c:plotVisOnly val="1"/>
    <c:dispBlanksAs val="gap"/>
    <c:showDLblsOverMax val="0"/>
  </c:chart>
  <c:spPr>
    <a:solidFill>
      <a:schemeClr val="accent3">
        <a:lumMod val="40000"/>
        <a:lumOff val="60000"/>
      </a:schemeClr>
    </a:solid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'Graphs '!$A$98</c:f>
              <c:strCache>
                <c:ptCount val="1"/>
                <c:pt idx="0">
                  <c:v>Producer deliveries</c:v>
                </c:pt>
              </c:strCache>
            </c:strRef>
          </c:tx>
          <c:spPr>
            <a:solidFill>
              <a:srgbClr val="D8A851"/>
            </a:solidFill>
          </c:spPr>
          <c:invertIfNegative val="0"/>
          <c:cat>
            <c:strRef>
              <c:f>'Graphs '!$B$97:$J$97</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'Graphs '!$B$98:$J$98</c:f>
              <c:numCache>
                <c:formatCode>###\ ###\ ###</c:formatCode>
                <c:ptCount val="9"/>
                <c:pt idx="0">
                  <c:v>285144</c:v>
                </c:pt>
                <c:pt idx="1">
                  <c:v>3289147</c:v>
                </c:pt>
                <c:pt idx="2">
                  <c:v>1222477</c:v>
                </c:pt>
                <c:pt idx="3">
                  <c:v>135416</c:v>
                </c:pt>
                <c:pt idx="4">
                  <c:v>244614</c:v>
                </c:pt>
                <c:pt idx="5">
                  <c:v>2379016</c:v>
                </c:pt>
                <c:pt idx="6">
                  <c:v>1341456</c:v>
                </c:pt>
                <c:pt idx="7">
                  <c:v>120304</c:v>
                </c:pt>
                <c:pt idx="8">
                  <c:v>213232</c:v>
                </c:pt>
              </c:numCache>
            </c:numRef>
          </c:val>
        </c:ser>
        <c:ser>
          <c:idx val="1"/>
          <c:order val="1"/>
          <c:tx>
            <c:strRef>
              <c:f>'Graphs '!$A$99</c:f>
              <c:strCache>
                <c:ptCount val="1"/>
                <c:pt idx="0">
                  <c:v>Imports </c:v>
                </c:pt>
              </c:strCache>
            </c:strRef>
          </c:tx>
          <c:invertIfNegative val="0"/>
          <c:cat>
            <c:strRef>
              <c:f>'Graphs '!$B$97:$J$97</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'Graphs '!$B$99:$J$99</c:f>
              <c:numCache>
                <c:formatCode>###\ ###\ ###</c:formatCode>
                <c:ptCount val="9"/>
                <c:pt idx="0">
                  <c:v>20450</c:v>
                </c:pt>
                <c:pt idx="1">
                  <c:v>124651</c:v>
                </c:pt>
                <c:pt idx="2">
                  <c:v>311215</c:v>
                </c:pt>
                <c:pt idx="3">
                  <c:v>279262</c:v>
                </c:pt>
                <c:pt idx="4">
                  <c:v>908701</c:v>
                </c:pt>
                <c:pt idx="5">
                  <c:v>551628</c:v>
                </c:pt>
                <c:pt idx="6">
                  <c:v>459952</c:v>
                </c:pt>
                <c:pt idx="7">
                  <c:v>387042</c:v>
                </c:pt>
                <c:pt idx="8">
                  <c:v>478449</c:v>
                </c:pt>
              </c:numCache>
            </c:numRef>
          </c:val>
        </c:ser>
        <c:ser>
          <c:idx val="2"/>
          <c:order val="2"/>
          <c:tx>
            <c:strRef>
              <c:f>'Graphs '!$A$100</c:f>
              <c:strCache>
                <c:ptCount val="1"/>
                <c:pt idx="0">
                  <c:v>Local Demand</c:v>
                </c:pt>
              </c:strCache>
            </c:strRef>
          </c:tx>
          <c:invertIfNegative val="0"/>
          <c:cat>
            <c:strRef>
              <c:f>'Graphs '!$B$97:$J$97</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'Graphs '!$B$100:$J$100</c:f>
              <c:numCache>
                <c:formatCode>###\ ###\ ###</c:formatCode>
                <c:ptCount val="9"/>
                <c:pt idx="0">
                  <c:v>1128211</c:v>
                </c:pt>
                <c:pt idx="1">
                  <c:v>1431856</c:v>
                </c:pt>
                <c:pt idx="2">
                  <c:v>1555657</c:v>
                </c:pt>
                <c:pt idx="3">
                  <c:v>1590605</c:v>
                </c:pt>
                <c:pt idx="4">
                  <c:v>1555567</c:v>
                </c:pt>
                <c:pt idx="5">
                  <c:v>1490816</c:v>
                </c:pt>
                <c:pt idx="6">
                  <c:v>1530010</c:v>
                </c:pt>
                <c:pt idx="7">
                  <c:v>1481252</c:v>
                </c:pt>
                <c:pt idx="8">
                  <c:v>1383395</c:v>
                </c:pt>
              </c:numCache>
            </c:numRef>
          </c:val>
        </c:ser>
        <c:ser>
          <c:idx val="3"/>
          <c:order val="3"/>
          <c:tx>
            <c:strRef>
              <c:f>'Graphs '!$A$101</c:f>
              <c:strCache>
                <c:ptCount val="1"/>
                <c:pt idx="0">
                  <c:v>Exports</c:v>
                </c:pt>
              </c:strCache>
            </c:strRef>
          </c:tx>
          <c:invertIfNegative val="0"/>
          <c:cat>
            <c:strRef>
              <c:f>'Graphs '!$B$97:$J$97</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'Graphs '!$B$101:$J$101</c:f>
              <c:numCache>
                <c:formatCode>###\ ###\ ###</c:formatCode>
                <c:ptCount val="9"/>
                <c:pt idx="0">
                  <c:v>60590</c:v>
                </c:pt>
                <c:pt idx="1">
                  <c:v>74974</c:v>
                </c:pt>
                <c:pt idx="2">
                  <c:v>84013</c:v>
                </c:pt>
                <c:pt idx="3">
                  <c:v>91947</c:v>
                </c:pt>
                <c:pt idx="4">
                  <c:v>70818</c:v>
                </c:pt>
                <c:pt idx="5">
                  <c:v>87455</c:v>
                </c:pt>
                <c:pt idx="6">
                  <c:v>87488</c:v>
                </c:pt>
                <c:pt idx="7">
                  <c:v>136796</c:v>
                </c:pt>
                <c:pt idx="8">
                  <c:v>103378</c:v>
                </c:pt>
              </c:numCache>
            </c:numRef>
          </c:val>
        </c:ser>
        <c:dLbls>
          <c:showLegendKey val="0"/>
          <c:showVal val="0"/>
          <c:showCatName val="0"/>
          <c:showSerName val="0"/>
          <c:showPercent val="0"/>
          <c:showBubbleSize val="0"/>
        </c:dLbls>
        <c:gapWidth val="150"/>
        <c:axId val="555090688"/>
        <c:axId val="555092224"/>
      </c:barChart>
      <c:catAx>
        <c:axId val="555090688"/>
        <c:scaling>
          <c:orientation val="minMax"/>
        </c:scaling>
        <c:delete val="0"/>
        <c:axPos val="b"/>
        <c:majorTickMark val="out"/>
        <c:minorTickMark val="none"/>
        <c:tickLblPos val="nextTo"/>
        <c:crossAx val="555092224"/>
        <c:crosses val="autoZero"/>
        <c:auto val="1"/>
        <c:lblAlgn val="ctr"/>
        <c:lblOffset val="100"/>
        <c:noMultiLvlLbl val="0"/>
      </c:catAx>
      <c:valAx>
        <c:axId val="555092224"/>
        <c:scaling>
          <c:orientation val="minMax"/>
        </c:scaling>
        <c:delete val="0"/>
        <c:axPos val="l"/>
        <c:majorGridlines/>
        <c:numFmt formatCode="###\ ###\ ###" sourceLinked="1"/>
        <c:majorTickMark val="out"/>
        <c:minorTickMark val="none"/>
        <c:tickLblPos val="nextTo"/>
        <c:crossAx val="555090688"/>
        <c:crosses val="autoZero"/>
        <c:crossBetween val="between"/>
        <c:dispUnits>
          <c:builtInUnit val="thousands"/>
          <c:dispUnitsLbl>
            <c:layout>
              <c:manualLayout>
                <c:xMode val="edge"/>
                <c:yMode val="edge"/>
                <c:x val="2.5000000000000001E-2"/>
                <c:y val="0.2088079615048119"/>
              </c:manualLayout>
            </c:layout>
            <c:tx>
              <c:rich>
                <a:bodyPr/>
                <a:lstStyle/>
                <a:p>
                  <a:pPr>
                    <a:defRPr/>
                  </a:pPr>
                  <a:r>
                    <a:rPr lang="en-ZA"/>
                    <a:t>Thousands Tons</a:t>
                  </a:r>
                </a:p>
              </c:rich>
            </c:tx>
          </c:dispUnitsLbl>
        </c:dispUnits>
      </c:valAx>
    </c:plotArea>
    <c:legend>
      <c:legendPos val="b"/>
      <c:overlay val="0"/>
    </c:legend>
    <c:plotVisOnly val="1"/>
    <c:dispBlanksAs val="gap"/>
    <c:showDLblsOverMax val="0"/>
  </c:chart>
  <c:spPr>
    <a:solidFill>
      <a:schemeClr val="accent3">
        <a:lumMod val="40000"/>
        <a:lumOff val="60000"/>
      </a:schemeClr>
    </a:solidFill>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58490171002057"/>
          <c:y val="4.217481361838317E-2"/>
          <c:w val="0.8292616911258186"/>
          <c:h val="0.63414227067770379"/>
        </c:manualLayout>
      </c:layout>
      <c:lineChart>
        <c:grouping val="standard"/>
        <c:varyColors val="0"/>
        <c:ser>
          <c:idx val="0"/>
          <c:order val="0"/>
          <c:tx>
            <c:strRef>
              <c:f>Sheet1!$B$2</c:f>
              <c:strCache>
                <c:ptCount val="1"/>
                <c:pt idx="0">
                  <c:v>Import price R/ton Randfontein</c:v>
                </c:pt>
              </c:strCache>
            </c:strRef>
          </c:tx>
          <c:spPr>
            <a:ln>
              <a:solidFill>
                <a:schemeClr val="tx1"/>
              </a:solidFill>
            </a:ln>
          </c:spPr>
          <c:marker>
            <c:symbol val="none"/>
          </c:marker>
          <c:cat>
            <c:numRef>
              <c:f>Sheet1!$A$3:$A$41</c:f>
              <c:numCache>
                <c:formatCode>m/d/yyyy</c:formatCode>
                <c:ptCount val="39"/>
                <c:pt idx="0">
                  <c:v>41646</c:v>
                </c:pt>
                <c:pt idx="1">
                  <c:v>41674</c:v>
                </c:pt>
                <c:pt idx="2">
                  <c:v>41702</c:v>
                </c:pt>
                <c:pt idx="3">
                  <c:v>41737</c:v>
                </c:pt>
                <c:pt idx="4">
                  <c:v>41765</c:v>
                </c:pt>
                <c:pt idx="5">
                  <c:v>41793</c:v>
                </c:pt>
                <c:pt idx="6">
                  <c:v>41821</c:v>
                </c:pt>
                <c:pt idx="7">
                  <c:v>41856</c:v>
                </c:pt>
                <c:pt idx="8">
                  <c:v>41884</c:v>
                </c:pt>
                <c:pt idx="9">
                  <c:v>41919</c:v>
                </c:pt>
                <c:pt idx="10">
                  <c:v>41947</c:v>
                </c:pt>
                <c:pt idx="11">
                  <c:v>41975</c:v>
                </c:pt>
                <c:pt idx="12">
                  <c:v>42010</c:v>
                </c:pt>
                <c:pt idx="13">
                  <c:v>42038</c:v>
                </c:pt>
                <c:pt idx="14">
                  <c:v>42066</c:v>
                </c:pt>
                <c:pt idx="15">
                  <c:v>42101</c:v>
                </c:pt>
                <c:pt idx="16">
                  <c:v>42129</c:v>
                </c:pt>
                <c:pt idx="17">
                  <c:v>42157</c:v>
                </c:pt>
                <c:pt idx="18">
                  <c:v>42192</c:v>
                </c:pt>
                <c:pt idx="19">
                  <c:v>42220</c:v>
                </c:pt>
                <c:pt idx="20">
                  <c:v>42248</c:v>
                </c:pt>
                <c:pt idx="21">
                  <c:v>42283</c:v>
                </c:pt>
                <c:pt idx="22">
                  <c:v>42311</c:v>
                </c:pt>
                <c:pt idx="23">
                  <c:v>42339</c:v>
                </c:pt>
                <c:pt idx="24">
                  <c:v>42374</c:v>
                </c:pt>
                <c:pt idx="25">
                  <c:v>42402</c:v>
                </c:pt>
                <c:pt idx="26">
                  <c:v>42430</c:v>
                </c:pt>
                <c:pt idx="27">
                  <c:v>42465</c:v>
                </c:pt>
                <c:pt idx="28">
                  <c:v>42493</c:v>
                </c:pt>
                <c:pt idx="29">
                  <c:v>42528</c:v>
                </c:pt>
                <c:pt idx="30">
                  <c:v>42556</c:v>
                </c:pt>
                <c:pt idx="31">
                  <c:v>42584</c:v>
                </c:pt>
                <c:pt idx="32">
                  <c:v>42619</c:v>
                </c:pt>
                <c:pt idx="33">
                  <c:v>42647</c:v>
                </c:pt>
                <c:pt idx="34">
                  <c:v>42675</c:v>
                </c:pt>
                <c:pt idx="35">
                  <c:v>42710</c:v>
                </c:pt>
                <c:pt idx="36">
                  <c:v>42738</c:v>
                </c:pt>
                <c:pt idx="37">
                  <c:v>42767</c:v>
                </c:pt>
                <c:pt idx="38">
                  <c:v>42797</c:v>
                </c:pt>
              </c:numCache>
            </c:numRef>
          </c:cat>
          <c:val>
            <c:numRef>
              <c:f>Sheet1!$B$3:$B$41</c:f>
              <c:numCache>
                <c:formatCode>General</c:formatCode>
                <c:ptCount val="39"/>
                <c:pt idx="0">
                  <c:v>3737.76</c:v>
                </c:pt>
                <c:pt idx="1">
                  <c:v>4045.53</c:v>
                </c:pt>
                <c:pt idx="2">
                  <c:v>4134.6499999999996</c:v>
                </c:pt>
                <c:pt idx="3">
                  <c:v>4129.2700000000004</c:v>
                </c:pt>
                <c:pt idx="4">
                  <c:v>4433.58</c:v>
                </c:pt>
                <c:pt idx="5">
                  <c:v>3851.45</c:v>
                </c:pt>
                <c:pt idx="6">
                  <c:v>3861.17</c:v>
                </c:pt>
                <c:pt idx="7">
                  <c:v>3734.11</c:v>
                </c:pt>
                <c:pt idx="8">
                  <c:v>3573.19</c:v>
                </c:pt>
                <c:pt idx="9">
                  <c:v>3841.68</c:v>
                </c:pt>
                <c:pt idx="10">
                  <c:v>3886.21</c:v>
                </c:pt>
                <c:pt idx="11">
                  <c:v>4031.91</c:v>
                </c:pt>
                <c:pt idx="12">
                  <c:v>4012.14</c:v>
                </c:pt>
                <c:pt idx="13">
                  <c:v>3610.97</c:v>
                </c:pt>
                <c:pt idx="14">
                  <c:v>3539.57</c:v>
                </c:pt>
                <c:pt idx="15">
                  <c:v>4054.7</c:v>
                </c:pt>
                <c:pt idx="16">
                  <c:v>3624.13</c:v>
                </c:pt>
                <c:pt idx="17">
                  <c:v>3926.15</c:v>
                </c:pt>
                <c:pt idx="18">
                  <c:v>4520.32</c:v>
                </c:pt>
                <c:pt idx="19">
                  <c:v>4148.51</c:v>
                </c:pt>
                <c:pt idx="20">
                  <c:v>3968.96</c:v>
                </c:pt>
                <c:pt idx="21">
                  <c:v>4655.01</c:v>
                </c:pt>
                <c:pt idx="22">
                  <c:v>4534.57</c:v>
                </c:pt>
                <c:pt idx="23">
                  <c:v>4527.37</c:v>
                </c:pt>
                <c:pt idx="24">
                  <c:v>4822.2299999999996</c:v>
                </c:pt>
                <c:pt idx="25">
                  <c:v>4956.57</c:v>
                </c:pt>
                <c:pt idx="26">
                  <c:v>4689.9399999999996</c:v>
                </c:pt>
                <c:pt idx="27">
                  <c:v>4478.33</c:v>
                </c:pt>
                <c:pt idx="28">
                  <c:v>4538.84</c:v>
                </c:pt>
                <c:pt idx="29">
                  <c:v>4963.53</c:v>
                </c:pt>
                <c:pt idx="30">
                  <c:v>4551.3100000000004</c:v>
                </c:pt>
                <c:pt idx="31">
                  <c:v>4456.3599999999997</c:v>
                </c:pt>
                <c:pt idx="32">
                  <c:v>4684.4799999999996</c:v>
                </c:pt>
                <c:pt idx="33" formatCode="0.00;[Red]0.00">
                  <c:v>4673.91</c:v>
                </c:pt>
                <c:pt idx="34" formatCode="0.00;[Red]0.00">
                  <c:v>4649.8100000000004</c:v>
                </c:pt>
                <c:pt idx="35" formatCode="0.00;[Red]0.00">
                  <c:v>4593.26</c:v>
                </c:pt>
                <c:pt idx="36">
                  <c:v>4724.99</c:v>
                </c:pt>
                <c:pt idx="37">
                  <c:v>4903.8500000000004</c:v>
                </c:pt>
                <c:pt idx="38">
                  <c:v>4847.79</c:v>
                </c:pt>
              </c:numCache>
            </c:numRef>
          </c:val>
          <c:smooth val="0"/>
        </c:ser>
        <c:ser>
          <c:idx val="1"/>
          <c:order val="1"/>
          <c:tx>
            <c:strRef>
              <c:f>Sheet1!$C$2</c:f>
              <c:strCache>
                <c:ptCount val="1"/>
                <c:pt idx="0">
                  <c:v>Wheat safex price</c:v>
                </c:pt>
              </c:strCache>
            </c:strRef>
          </c:tx>
          <c:spPr>
            <a:ln>
              <a:solidFill>
                <a:srgbClr val="E01F16"/>
              </a:solidFill>
            </a:ln>
          </c:spPr>
          <c:marker>
            <c:symbol val="none"/>
          </c:marker>
          <c:cat>
            <c:numRef>
              <c:f>Sheet1!$A$3:$A$41</c:f>
              <c:numCache>
                <c:formatCode>m/d/yyyy</c:formatCode>
                <c:ptCount val="39"/>
                <c:pt idx="0">
                  <c:v>41646</c:v>
                </c:pt>
                <c:pt idx="1">
                  <c:v>41674</c:v>
                </c:pt>
                <c:pt idx="2">
                  <c:v>41702</c:v>
                </c:pt>
                <c:pt idx="3">
                  <c:v>41737</c:v>
                </c:pt>
                <c:pt idx="4">
                  <c:v>41765</c:v>
                </c:pt>
                <c:pt idx="5">
                  <c:v>41793</c:v>
                </c:pt>
                <c:pt idx="6">
                  <c:v>41821</c:v>
                </c:pt>
                <c:pt idx="7">
                  <c:v>41856</c:v>
                </c:pt>
                <c:pt idx="8">
                  <c:v>41884</c:v>
                </c:pt>
                <c:pt idx="9">
                  <c:v>41919</c:v>
                </c:pt>
                <c:pt idx="10">
                  <c:v>41947</c:v>
                </c:pt>
                <c:pt idx="11">
                  <c:v>41975</c:v>
                </c:pt>
                <c:pt idx="12">
                  <c:v>42010</c:v>
                </c:pt>
                <c:pt idx="13">
                  <c:v>42038</c:v>
                </c:pt>
                <c:pt idx="14">
                  <c:v>42066</c:v>
                </c:pt>
                <c:pt idx="15">
                  <c:v>42101</c:v>
                </c:pt>
                <c:pt idx="16">
                  <c:v>42129</c:v>
                </c:pt>
                <c:pt idx="17">
                  <c:v>42157</c:v>
                </c:pt>
                <c:pt idx="18">
                  <c:v>42192</c:v>
                </c:pt>
                <c:pt idx="19">
                  <c:v>42220</c:v>
                </c:pt>
                <c:pt idx="20">
                  <c:v>42248</c:v>
                </c:pt>
                <c:pt idx="21">
                  <c:v>42283</c:v>
                </c:pt>
                <c:pt idx="22">
                  <c:v>42311</c:v>
                </c:pt>
                <c:pt idx="23">
                  <c:v>42339</c:v>
                </c:pt>
                <c:pt idx="24">
                  <c:v>42374</c:v>
                </c:pt>
                <c:pt idx="25">
                  <c:v>42402</c:v>
                </c:pt>
                <c:pt idx="26">
                  <c:v>42430</c:v>
                </c:pt>
                <c:pt idx="27">
                  <c:v>42465</c:v>
                </c:pt>
                <c:pt idx="28">
                  <c:v>42493</c:v>
                </c:pt>
                <c:pt idx="29">
                  <c:v>42528</c:v>
                </c:pt>
                <c:pt idx="30">
                  <c:v>42556</c:v>
                </c:pt>
                <c:pt idx="31">
                  <c:v>42584</c:v>
                </c:pt>
                <c:pt idx="32">
                  <c:v>42619</c:v>
                </c:pt>
                <c:pt idx="33">
                  <c:v>42647</c:v>
                </c:pt>
                <c:pt idx="34">
                  <c:v>42675</c:v>
                </c:pt>
                <c:pt idx="35">
                  <c:v>42710</c:v>
                </c:pt>
                <c:pt idx="36">
                  <c:v>42738</c:v>
                </c:pt>
                <c:pt idx="37">
                  <c:v>42767</c:v>
                </c:pt>
                <c:pt idx="38">
                  <c:v>42797</c:v>
                </c:pt>
              </c:numCache>
            </c:numRef>
          </c:cat>
          <c:val>
            <c:numRef>
              <c:f>Sheet1!$C$3:$C$41</c:f>
              <c:numCache>
                <c:formatCode>General</c:formatCode>
                <c:ptCount val="39"/>
                <c:pt idx="0">
                  <c:v>3740.5</c:v>
                </c:pt>
                <c:pt idx="1">
                  <c:v>3822.9</c:v>
                </c:pt>
                <c:pt idx="2">
                  <c:v>3985.35</c:v>
                </c:pt>
                <c:pt idx="3">
                  <c:v>3927.8947368421054</c:v>
                </c:pt>
                <c:pt idx="4">
                  <c:v>3947.05</c:v>
                </c:pt>
                <c:pt idx="5">
                  <c:v>3792.2</c:v>
                </c:pt>
                <c:pt idx="6">
                  <c:v>3708.521739130435</c:v>
                </c:pt>
                <c:pt idx="7">
                  <c:v>3697.8095238095239</c:v>
                </c:pt>
                <c:pt idx="8">
                  <c:v>3696.8571428571427</c:v>
                </c:pt>
                <c:pt idx="9">
                  <c:v>3605.8695652173915</c:v>
                </c:pt>
                <c:pt idx="10">
                  <c:v>3653.25</c:v>
                </c:pt>
                <c:pt idx="11">
                  <c:v>3851.45</c:v>
                </c:pt>
                <c:pt idx="12">
                  <c:v>3908.9047619047619</c:v>
                </c:pt>
                <c:pt idx="13">
                  <c:v>3843.8</c:v>
                </c:pt>
                <c:pt idx="14">
                  <c:v>3874.590909090909</c:v>
                </c:pt>
                <c:pt idx="15">
                  <c:v>3794.2631578947367</c:v>
                </c:pt>
                <c:pt idx="16">
                  <c:v>3848.7804878048782</c:v>
                </c:pt>
                <c:pt idx="17">
                  <c:v>3874.2380952380954</c:v>
                </c:pt>
                <c:pt idx="18">
                  <c:v>3951.7391304347825</c:v>
                </c:pt>
                <c:pt idx="19">
                  <c:v>4050.6</c:v>
                </c:pt>
                <c:pt idx="20">
                  <c:v>4157.1428571428569</c:v>
                </c:pt>
                <c:pt idx="21">
                  <c:v>4154.636363636364</c:v>
                </c:pt>
                <c:pt idx="22">
                  <c:v>4412.4285714285716</c:v>
                </c:pt>
                <c:pt idx="23">
                  <c:v>4647.5238095238092</c:v>
                </c:pt>
                <c:pt idx="24">
                  <c:v>4890.5</c:v>
                </c:pt>
                <c:pt idx="25">
                  <c:v>4661</c:v>
                </c:pt>
                <c:pt idx="26">
                  <c:v>4623.1000000000004</c:v>
                </c:pt>
                <c:pt idx="27">
                  <c:v>4573.1904761904761</c:v>
                </c:pt>
                <c:pt idx="28">
                  <c:v>4983.5714285714284</c:v>
                </c:pt>
                <c:pt idx="29">
                  <c:v>4817.8571428571431</c:v>
                </c:pt>
                <c:pt idx="30">
                  <c:v>4512.733190709142</c:v>
                </c:pt>
                <c:pt idx="31">
                  <c:v>4196.7164938813812</c:v>
                </c:pt>
                <c:pt idx="32">
                  <c:v>4112.8239051342734</c:v>
                </c:pt>
                <c:pt idx="33" formatCode="0.00;[Red]0.00">
                  <c:v>4158.29</c:v>
                </c:pt>
                <c:pt idx="34" formatCode="0.00;[Red]0.00">
                  <c:v>3969.14</c:v>
                </c:pt>
                <c:pt idx="35" formatCode="0.00;[Red]0.00">
                  <c:v>3954.68</c:v>
                </c:pt>
                <c:pt idx="36">
                  <c:v>3939.94</c:v>
                </c:pt>
                <c:pt idx="37">
                  <c:v>3985.56</c:v>
                </c:pt>
                <c:pt idx="38">
                  <c:v>4010.86</c:v>
                </c:pt>
              </c:numCache>
            </c:numRef>
          </c:val>
          <c:smooth val="0"/>
        </c:ser>
        <c:ser>
          <c:idx val="2"/>
          <c:order val="2"/>
          <c:tx>
            <c:strRef>
              <c:f>Sheet1!$D$2</c:f>
              <c:strCache>
                <c:ptCount val="1"/>
                <c:pt idx="0">
                  <c:v>Export price</c:v>
                </c:pt>
              </c:strCache>
            </c:strRef>
          </c:tx>
          <c:spPr>
            <a:ln>
              <a:solidFill>
                <a:srgbClr val="005D28"/>
              </a:solidFill>
            </a:ln>
          </c:spPr>
          <c:marker>
            <c:symbol val="none"/>
          </c:marker>
          <c:cat>
            <c:numRef>
              <c:f>Sheet1!$A$3:$A$41</c:f>
              <c:numCache>
                <c:formatCode>m/d/yyyy</c:formatCode>
                <c:ptCount val="39"/>
                <c:pt idx="0">
                  <c:v>41646</c:v>
                </c:pt>
                <c:pt idx="1">
                  <c:v>41674</c:v>
                </c:pt>
                <c:pt idx="2">
                  <c:v>41702</c:v>
                </c:pt>
                <c:pt idx="3">
                  <c:v>41737</c:v>
                </c:pt>
                <c:pt idx="4">
                  <c:v>41765</c:v>
                </c:pt>
                <c:pt idx="5">
                  <c:v>41793</c:v>
                </c:pt>
                <c:pt idx="6">
                  <c:v>41821</c:v>
                </c:pt>
                <c:pt idx="7">
                  <c:v>41856</c:v>
                </c:pt>
                <c:pt idx="8">
                  <c:v>41884</c:v>
                </c:pt>
                <c:pt idx="9">
                  <c:v>41919</c:v>
                </c:pt>
                <c:pt idx="10">
                  <c:v>41947</c:v>
                </c:pt>
                <c:pt idx="11">
                  <c:v>41975</c:v>
                </c:pt>
                <c:pt idx="12">
                  <c:v>42010</c:v>
                </c:pt>
                <c:pt idx="13">
                  <c:v>42038</c:v>
                </c:pt>
                <c:pt idx="14">
                  <c:v>42066</c:v>
                </c:pt>
                <c:pt idx="15">
                  <c:v>42101</c:v>
                </c:pt>
                <c:pt idx="16">
                  <c:v>42129</c:v>
                </c:pt>
                <c:pt idx="17">
                  <c:v>42157</c:v>
                </c:pt>
                <c:pt idx="18">
                  <c:v>42192</c:v>
                </c:pt>
                <c:pt idx="19">
                  <c:v>42220</c:v>
                </c:pt>
                <c:pt idx="20">
                  <c:v>42248</c:v>
                </c:pt>
                <c:pt idx="21">
                  <c:v>42283</c:v>
                </c:pt>
                <c:pt idx="22">
                  <c:v>42311</c:v>
                </c:pt>
                <c:pt idx="23">
                  <c:v>42339</c:v>
                </c:pt>
                <c:pt idx="24">
                  <c:v>42374</c:v>
                </c:pt>
                <c:pt idx="25">
                  <c:v>42402</c:v>
                </c:pt>
                <c:pt idx="26">
                  <c:v>42430</c:v>
                </c:pt>
                <c:pt idx="27">
                  <c:v>42465</c:v>
                </c:pt>
                <c:pt idx="28">
                  <c:v>42493</c:v>
                </c:pt>
                <c:pt idx="29">
                  <c:v>42528</c:v>
                </c:pt>
                <c:pt idx="30">
                  <c:v>42556</c:v>
                </c:pt>
                <c:pt idx="31">
                  <c:v>42584</c:v>
                </c:pt>
                <c:pt idx="32">
                  <c:v>42619</c:v>
                </c:pt>
                <c:pt idx="33">
                  <c:v>42647</c:v>
                </c:pt>
                <c:pt idx="34">
                  <c:v>42675</c:v>
                </c:pt>
                <c:pt idx="35">
                  <c:v>42710</c:v>
                </c:pt>
                <c:pt idx="36">
                  <c:v>42738</c:v>
                </c:pt>
                <c:pt idx="37">
                  <c:v>42767</c:v>
                </c:pt>
                <c:pt idx="38">
                  <c:v>42797</c:v>
                </c:pt>
              </c:numCache>
            </c:numRef>
          </c:cat>
          <c:val>
            <c:numRef>
              <c:f>Sheet1!$D$3:$D$41</c:f>
              <c:numCache>
                <c:formatCode>General</c:formatCode>
                <c:ptCount val="39"/>
                <c:pt idx="0">
                  <c:v>2572.54</c:v>
                </c:pt>
                <c:pt idx="1">
                  <c:v>2771.96</c:v>
                </c:pt>
                <c:pt idx="2">
                  <c:v>2896.43</c:v>
                </c:pt>
                <c:pt idx="3">
                  <c:v>2932.55</c:v>
                </c:pt>
                <c:pt idx="4">
                  <c:v>3300.98</c:v>
                </c:pt>
                <c:pt idx="5">
                  <c:v>2750.19</c:v>
                </c:pt>
                <c:pt idx="6">
                  <c:v>2771.34</c:v>
                </c:pt>
                <c:pt idx="7">
                  <c:v>2598.38</c:v>
                </c:pt>
                <c:pt idx="8">
                  <c:v>2431.92</c:v>
                </c:pt>
                <c:pt idx="9">
                  <c:v>2677.8</c:v>
                </c:pt>
                <c:pt idx="10">
                  <c:v>2572.42</c:v>
                </c:pt>
                <c:pt idx="11">
                  <c:v>2712.92</c:v>
                </c:pt>
                <c:pt idx="12">
                  <c:v>2684.12</c:v>
                </c:pt>
                <c:pt idx="13">
                  <c:v>2364.41</c:v>
                </c:pt>
                <c:pt idx="14">
                  <c:v>2299.81</c:v>
                </c:pt>
                <c:pt idx="15">
                  <c:v>2434.92</c:v>
                </c:pt>
                <c:pt idx="16">
                  <c:v>2047.21</c:v>
                </c:pt>
                <c:pt idx="17">
                  <c:v>2339.29</c:v>
                </c:pt>
                <c:pt idx="18">
                  <c:v>2515.6799999999998</c:v>
                </c:pt>
                <c:pt idx="19">
                  <c:v>2115.8000000000002</c:v>
                </c:pt>
                <c:pt idx="20">
                  <c:v>2190.11</c:v>
                </c:pt>
                <c:pt idx="21">
                  <c:v>2497.5300000000002</c:v>
                </c:pt>
                <c:pt idx="22">
                  <c:v>2375.2600000000002</c:v>
                </c:pt>
                <c:pt idx="23">
                  <c:v>2388.13</c:v>
                </c:pt>
                <c:pt idx="24">
                  <c:v>2656.43</c:v>
                </c:pt>
                <c:pt idx="25">
                  <c:v>2801.56</c:v>
                </c:pt>
                <c:pt idx="26">
                  <c:v>2532.6799999999998</c:v>
                </c:pt>
                <c:pt idx="27">
                  <c:v>2450.25</c:v>
                </c:pt>
                <c:pt idx="28">
                  <c:v>2134.5</c:v>
                </c:pt>
                <c:pt idx="29">
                  <c:v>2713.25</c:v>
                </c:pt>
                <c:pt idx="30">
                  <c:v>2282.75</c:v>
                </c:pt>
                <c:pt idx="31">
                  <c:v>2224.9</c:v>
                </c:pt>
                <c:pt idx="32">
                  <c:v>2137.4699999999998</c:v>
                </c:pt>
                <c:pt idx="33" formatCode="0.00;[Red]0.00">
                  <c:v>2155.4699999999998</c:v>
                </c:pt>
                <c:pt idx="34" formatCode="0.00;[Red]0.00">
                  <c:v>2160.96</c:v>
                </c:pt>
                <c:pt idx="35" formatCode="0.00;[Red]0.00">
                  <c:v>2020.6</c:v>
                </c:pt>
                <c:pt idx="36">
                  <c:v>2020.6</c:v>
                </c:pt>
                <c:pt idx="37" formatCode="0.00;[Red]0.00">
                  <c:v>2331.92</c:v>
                </c:pt>
                <c:pt idx="38" formatCode="0.00;[Red]0.00">
                  <c:v>2250.46</c:v>
                </c:pt>
              </c:numCache>
            </c:numRef>
          </c:val>
          <c:smooth val="0"/>
        </c:ser>
        <c:dLbls>
          <c:showLegendKey val="0"/>
          <c:showVal val="0"/>
          <c:showCatName val="0"/>
          <c:showSerName val="0"/>
          <c:showPercent val="0"/>
          <c:showBubbleSize val="0"/>
        </c:dLbls>
        <c:marker val="1"/>
        <c:smooth val="0"/>
        <c:axId val="556020096"/>
        <c:axId val="556021632"/>
      </c:lineChart>
      <c:dateAx>
        <c:axId val="556020096"/>
        <c:scaling>
          <c:orientation val="minMax"/>
          <c:max val="42797"/>
          <c:min val="41640"/>
        </c:scaling>
        <c:delete val="0"/>
        <c:axPos val="b"/>
        <c:numFmt formatCode="m/d/yyyy" sourceLinked="0"/>
        <c:majorTickMark val="out"/>
        <c:minorTickMark val="none"/>
        <c:tickLblPos val="nextTo"/>
        <c:crossAx val="556021632"/>
        <c:crosses val="autoZero"/>
        <c:auto val="1"/>
        <c:lblOffset val="100"/>
        <c:baseTimeUnit val="months"/>
        <c:majorUnit val="1"/>
        <c:majorTimeUnit val="months"/>
        <c:minorUnit val="1"/>
        <c:minorTimeUnit val="months"/>
      </c:dateAx>
      <c:valAx>
        <c:axId val="556021632"/>
        <c:scaling>
          <c:orientation val="minMax"/>
        </c:scaling>
        <c:delete val="0"/>
        <c:axPos val="l"/>
        <c:majorGridlines/>
        <c:title>
          <c:tx>
            <c:rich>
              <a:bodyPr rot="-5400000" vert="horz"/>
              <a:lstStyle/>
              <a:p>
                <a:pPr>
                  <a:defRPr/>
                </a:pPr>
                <a:r>
                  <a:rPr lang="en-ZA"/>
                  <a:t>R/Ton</a:t>
                </a:r>
              </a:p>
            </c:rich>
          </c:tx>
          <c:layout>
            <c:manualLayout>
              <c:xMode val="edge"/>
              <c:yMode val="edge"/>
              <c:x val="1.1079104808331486E-2"/>
              <c:y val="0.29919824124548533"/>
            </c:manualLayout>
          </c:layout>
          <c:overlay val="0"/>
        </c:title>
        <c:numFmt formatCode="General" sourceLinked="1"/>
        <c:majorTickMark val="out"/>
        <c:minorTickMark val="none"/>
        <c:tickLblPos val="nextTo"/>
        <c:crossAx val="556020096"/>
        <c:crosses val="autoZero"/>
        <c:crossBetween val="between"/>
      </c:valAx>
    </c:plotArea>
    <c:legend>
      <c:legendPos val="b"/>
      <c:overlay val="0"/>
    </c:legend>
    <c:plotVisOnly val="1"/>
    <c:dispBlanksAs val="gap"/>
    <c:showDLblsOverMax val="0"/>
  </c:chart>
  <c:spPr>
    <a:solidFill>
      <a:schemeClr val="accent3">
        <a:lumMod val="40000"/>
        <a:lumOff val="6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'Real GDP Q1 2017'!$N$14</c:f>
              <c:strCache>
                <c:ptCount val="1"/>
                <c:pt idx="0">
                  <c:v>2016/Q1</c:v>
                </c:pt>
              </c:strCache>
            </c:strRef>
          </c:tx>
          <c:spPr>
            <a:solidFill>
              <a:srgbClr val="005D28"/>
            </a:solidFill>
          </c:spPr>
          <c:invertIfNegative val="0"/>
          <c:cat>
            <c:strRef>
              <c:f>'Real GDP Q1 2017'!$A$15:$A$23</c:f>
              <c:strCache>
                <c:ptCount val="9"/>
                <c:pt idx="0">
                  <c:v>Brazil</c:v>
                </c:pt>
                <c:pt idx="1">
                  <c:v>China</c:v>
                </c:pt>
                <c:pt idx="2">
                  <c:v>India</c:v>
                </c:pt>
                <c:pt idx="3">
                  <c:v>Indonesia</c:v>
                </c:pt>
                <c:pt idx="4">
                  <c:v>Malaysia</c:v>
                </c:pt>
                <c:pt idx="5">
                  <c:v>Philippines</c:v>
                </c:pt>
                <c:pt idx="6">
                  <c:v>South Africa</c:v>
                </c:pt>
                <c:pt idx="7">
                  <c:v>Nigeria</c:v>
                </c:pt>
                <c:pt idx="8">
                  <c:v>Russia</c:v>
                </c:pt>
              </c:strCache>
            </c:strRef>
          </c:cat>
          <c:val>
            <c:numRef>
              <c:f>'Real GDP Q1 2017'!$N$15:$N$23</c:f>
              <c:numCache>
                <c:formatCode>#,##0.0_ ;\-#,##0.0\ </c:formatCode>
                <c:ptCount val="9"/>
                <c:pt idx="0">
                  <c:v>-5.0839549999999951</c:v>
                </c:pt>
                <c:pt idx="1">
                  <c:v>6.7</c:v>
                </c:pt>
                <c:pt idx="2">
                  <c:v>8.0413149999999991</c:v>
                </c:pt>
                <c:pt idx="3">
                  <c:v>4.9197819999999997</c:v>
                </c:pt>
                <c:pt idx="4" formatCode="0.0">
                  <c:v>4.2</c:v>
                </c:pt>
                <c:pt idx="5" formatCode="0.0">
                  <c:v>6.9</c:v>
                </c:pt>
                <c:pt idx="6">
                  <c:v>-0.64773800000000081</c:v>
                </c:pt>
                <c:pt idx="7" formatCode="0.0">
                  <c:v>-0.36000000000000026</c:v>
                </c:pt>
                <c:pt idx="8" formatCode="0.0">
                  <c:v>-1.2</c:v>
                </c:pt>
              </c:numCache>
            </c:numRef>
          </c:val>
        </c:ser>
        <c:ser>
          <c:idx val="1"/>
          <c:order val="1"/>
          <c:tx>
            <c:strRef>
              <c:f>'Real GDP Q1 2017'!$R$14</c:f>
              <c:strCache>
                <c:ptCount val="1"/>
                <c:pt idx="0">
                  <c:v>2017/Q1</c:v>
                </c:pt>
              </c:strCache>
            </c:strRef>
          </c:tx>
          <c:spPr>
            <a:solidFill>
              <a:srgbClr val="D8A851"/>
            </a:solidFill>
          </c:spPr>
          <c:invertIfNegative val="0"/>
          <c:cat>
            <c:strRef>
              <c:f>'Real GDP Q1 2017'!$A$15:$A$23</c:f>
              <c:strCache>
                <c:ptCount val="9"/>
                <c:pt idx="0">
                  <c:v>Brazil</c:v>
                </c:pt>
                <c:pt idx="1">
                  <c:v>China</c:v>
                </c:pt>
                <c:pt idx="2">
                  <c:v>India</c:v>
                </c:pt>
                <c:pt idx="3">
                  <c:v>Indonesia</c:v>
                </c:pt>
                <c:pt idx="4">
                  <c:v>Malaysia</c:v>
                </c:pt>
                <c:pt idx="5">
                  <c:v>Philippines</c:v>
                </c:pt>
                <c:pt idx="6">
                  <c:v>South Africa</c:v>
                </c:pt>
                <c:pt idx="7">
                  <c:v>Nigeria</c:v>
                </c:pt>
                <c:pt idx="8">
                  <c:v>Russia</c:v>
                </c:pt>
              </c:strCache>
            </c:strRef>
          </c:cat>
          <c:val>
            <c:numRef>
              <c:f>'Real GDP Q1 2017'!$R$15:$R$23</c:f>
              <c:numCache>
                <c:formatCode>General</c:formatCode>
                <c:ptCount val="9"/>
                <c:pt idx="0">
                  <c:v>1</c:v>
                </c:pt>
                <c:pt idx="1">
                  <c:v>6.9</c:v>
                </c:pt>
                <c:pt idx="2">
                  <c:v>6.1</c:v>
                </c:pt>
                <c:pt idx="3">
                  <c:v>5</c:v>
                </c:pt>
                <c:pt idx="4">
                  <c:v>5.6</c:v>
                </c:pt>
                <c:pt idx="5">
                  <c:v>7</c:v>
                </c:pt>
                <c:pt idx="6">
                  <c:v>-0.70000000000000051</c:v>
                </c:pt>
                <c:pt idx="7">
                  <c:v>-0.5</c:v>
                </c:pt>
                <c:pt idx="8">
                  <c:v>0.5</c:v>
                </c:pt>
              </c:numCache>
            </c:numRef>
          </c:val>
        </c:ser>
        <c:dLbls>
          <c:showLegendKey val="0"/>
          <c:showVal val="0"/>
          <c:showCatName val="0"/>
          <c:showSerName val="0"/>
          <c:showPercent val="0"/>
          <c:showBubbleSize val="0"/>
        </c:dLbls>
        <c:gapWidth val="150"/>
        <c:axId val="551613952"/>
        <c:axId val="551615488"/>
      </c:barChart>
      <c:catAx>
        <c:axId val="551613952"/>
        <c:scaling>
          <c:orientation val="minMax"/>
        </c:scaling>
        <c:delete val="0"/>
        <c:axPos val="b"/>
        <c:numFmt formatCode="General" sourceLinked="1"/>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en-US"/>
          </a:p>
        </c:txPr>
        <c:crossAx val="551615488"/>
        <c:crosses val="autoZero"/>
        <c:auto val="1"/>
        <c:lblAlgn val="ctr"/>
        <c:lblOffset val="100"/>
        <c:noMultiLvlLbl val="0"/>
      </c:catAx>
      <c:valAx>
        <c:axId val="551615488"/>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ZA"/>
                  <a:t>Rate (%)</a:t>
                </a:r>
              </a:p>
            </c:rich>
          </c:tx>
          <c:overlay val="0"/>
        </c:title>
        <c:numFmt formatCode="#,##0.0_ ;\-#,##0.0\ "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51613952"/>
        <c:crosses val="autoZero"/>
        <c:crossBetween val="between"/>
      </c:valAx>
    </c:plotArea>
    <c:legend>
      <c:legendPos val="b"/>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9BBB59">
        <a:lumMod val="20000"/>
        <a:lumOff val="80000"/>
      </a:srgbClr>
    </a:solidFill>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5"/>
          <c:order val="5"/>
          <c:tx>
            <c:strRef>
              <c:f>'Q1 2017'!$H$1</c:f>
              <c:strCache>
                <c:ptCount val="1"/>
                <c:pt idx="0">
                  <c:v>wheat price R/ton</c:v>
                </c:pt>
              </c:strCache>
            </c:strRef>
          </c:tx>
          <c:spPr>
            <a:ln>
              <a:solidFill>
                <a:schemeClr val="tx1"/>
              </a:solidFill>
            </a:ln>
          </c:spPr>
          <c:marker>
            <c:symbol val="none"/>
          </c:marker>
          <c:cat>
            <c:numRef>
              <c:f>'Q1 2017'!$A$2:$A$32</c:f>
              <c:numCache>
                <c:formatCode>mmm\-yyyy</c:formatCode>
                <c:ptCount val="31"/>
                <c:pt idx="0">
                  <c:v>41883</c:v>
                </c:pt>
                <c:pt idx="1">
                  <c:v>41913</c:v>
                </c:pt>
                <c:pt idx="2">
                  <c:v>41944</c:v>
                </c:pt>
                <c:pt idx="3">
                  <c:v>41974</c:v>
                </c:pt>
                <c:pt idx="4">
                  <c:v>42005</c:v>
                </c:pt>
                <c:pt idx="5">
                  <c:v>42036</c:v>
                </c:pt>
                <c:pt idx="6">
                  <c:v>42064</c:v>
                </c:pt>
                <c:pt idx="7">
                  <c:v>42095</c:v>
                </c:pt>
                <c:pt idx="8">
                  <c:v>42125</c:v>
                </c:pt>
                <c:pt idx="9">
                  <c:v>42156</c:v>
                </c:pt>
                <c:pt idx="10">
                  <c:v>42186</c:v>
                </c:pt>
                <c:pt idx="11">
                  <c:v>42217</c:v>
                </c:pt>
                <c:pt idx="12">
                  <c:v>42248</c:v>
                </c:pt>
                <c:pt idx="13">
                  <c:v>42278</c:v>
                </c:pt>
                <c:pt idx="14">
                  <c:v>42309</c:v>
                </c:pt>
                <c:pt idx="15">
                  <c:v>42339</c:v>
                </c:pt>
                <c:pt idx="16">
                  <c:v>42370</c:v>
                </c:pt>
                <c:pt idx="17">
                  <c:v>42401</c:v>
                </c:pt>
                <c:pt idx="18">
                  <c:v>42430</c:v>
                </c:pt>
                <c:pt idx="19">
                  <c:v>42461</c:v>
                </c:pt>
                <c:pt idx="20">
                  <c:v>42491</c:v>
                </c:pt>
                <c:pt idx="21">
                  <c:v>42522</c:v>
                </c:pt>
                <c:pt idx="22">
                  <c:v>42552</c:v>
                </c:pt>
                <c:pt idx="23">
                  <c:v>42583</c:v>
                </c:pt>
                <c:pt idx="24">
                  <c:v>42614</c:v>
                </c:pt>
                <c:pt idx="25">
                  <c:v>42644</c:v>
                </c:pt>
                <c:pt idx="26">
                  <c:v>42675</c:v>
                </c:pt>
                <c:pt idx="27">
                  <c:v>42705</c:v>
                </c:pt>
                <c:pt idx="28">
                  <c:v>42736</c:v>
                </c:pt>
                <c:pt idx="29">
                  <c:v>42767</c:v>
                </c:pt>
                <c:pt idx="30">
                  <c:v>42795</c:v>
                </c:pt>
              </c:numCache>
            </c:numRef>
          </c:cat>
          <c:val>
            <c:numRef>
              <c:f>'Q1 2017'!$H$2:$H$32</c:f>
              <c:numCache>
                <c:formatCode>General</c:formatCode>
                <c:ptCount val="31"/>
                <c:pt idx="0">
                  <c:v>3696.8571428571427</c:v>
                </c:pt>
                <c:pt idx="1">
                  <c:v>3605.8695652173915</c:v>
                </c:pt>
                <c:pt idx="2">
                  <c:v>3653.25</c:v>
                </c:pt>
                <c:pt idx="3">
                  <c:v>3851.45</c:v>
                </c:pt>
                <c:pt idx="4">
                  <c:v>3908.9047619047619</c:v>
                </c:pt>
                <c:pt idx="5">
                  <c:v>3843.8</c:v>
                </c:pt>
                <c:pt idx="6">
                  <c:v>3874.590909090909</c:v>
                </c:pt>
                <c:pt idx="7">
                  <c:v>3794.2631578947367</c:v>
                </c:pt>
                <c:pt idx="8">
                  <c:v>3848.7804878048782</c:v>
                </c:pt>
                <c:pt idx="9">
                  <c:v>3874.2380952380954</c:v>
                </c:pt>
                <c:pt idx="10">
                  <c:v>3951.7391304347825</c:v>
                </c:pt>
                <c:pt idx="11">
                  <c:v>4050.6</c:v>
                </c:pt>
                <c:pt idx="12">
                  <c:v>4157.1428571428569</c:v>
                </c:pt>
                <c:pt idx="13">
                  <c:v>4154.636363636364</c:v>
                </c:pt>
                <c:pt idx="14">
                  <c:v>4412.4285714285716</c:v>
                </c:pt>
                <c:pt idx="15">
                  <c:v>4647.5238095238092</c:v>
                </c:pt>
                <c:pt idx="16">
                  <c:v>4890.5</c:v>
                </c:pt>
                <c:pt idx="17">
                  <c:v>4661</c:v>
                </c:pt>
                <c:pt idx="18">
                  <c:v>4623.1000000000004</c:v>
                </c:pt>
                <c:pt idx="19">
                  <c:v>4573.1904761904761</c:v>
                </c:pt>
                <c:pt idx="20">
                  <c:v>4983.5714285714284</c:v>
                </c:pt>
                <c:pt idx="21">
                  <c:v>4817.8571428571431</c:v>
                </c:pt>
                <c:pt idx="22">
                  <c:v>4512.733190709142</c:v>
                </c:pt>
                <c:pt idx="23">
                  <c:v>4196.7164938813812</c:v>
                </c:pt>
                <c:pt idx="24">
                  <c:v>4112.8239051342734</c:v>
                </c:pt>
                <c:pt idx="25" formatCode="0.00;[Red]0.00">
                  <c:v>4128.6099999999997</c:v>
                </c:pt>
                <c:pt idx="26" formatCode="0.00;[Red]0.00">
                  <c:v>3940.71</c:v>
                </c:pt>
                <c:pt idx="27" formatCode="0.00;[Red]0.00">
                  <c:v>3912.84</c:v>
                </c:pt>
                <c:pt idx="28" formatCode="0.00;[Red]0.00">
                  <c:v>3939.94</c:v>
                </c:pt>
                <c:pt idx="29" formatCode="0.00;[Red]0.00">
                  <c:v>3985.56</c:v>
                </c:pt>
                <c:pt idx="30" formatCode="0.00;[Red]0.00">
                  <c:v>4010.86</c:v>
                </c:pt>
              </c:numCache>
            </c:numRef>
          </c:val>
          <c:smooth val="0"/>
        </c:ser>
        <c:dLbls>
          <c:showLegendKey val="0"/>
          <c:showVal val="0"/>
          <c:showCatName val="0"/>
          <c:showSerName val="0"/>
          <c:showPercent val="0"/>
          <c:showBubbleSize val="0"/>
        </c:dLbls>
        <c:marker val="1"/>
        <c:smooth val="0"/>
        <c:axId val="555948672"/>
        <c:axId val="555958656"/>
      </c:lineChart>
      <c:lineChart>
        <c:grouping val="standard"/>
        <c:varyColors val="0"/>
        <c:ser>
          <c:idx val="0"/>
          <c:order val="0"/>
          <c:tx>
            <c:strRef>
              <c:f>'Q1 2017'!$C$1</c:f>
              <c:strCache>
                <c:ptCount val="1"/>
                <c:pt idx="0">
                  <c:v>Bread white 700gr </c:v>
                </c:pt>
              </c:strCache>
            </c:strRef>
          </c:tx>
          <c:marker>
            <c:symbol val="none"/>
          </c:marker>
          <c:cat>
            <c:numRef>
              <c:f>'Q1 2017'!$A$2:$A$32</c:f>
              <c:numCache>
                <c:formatCode>mmm\-yyyy</c:formatCode>
                <c:ptCount val="31"/>
                <c:pt idx="0">
                  <c:v>41883</c:v>
                </c:pt>
                <c:pt idx="1">
                  <c:v>41913</c:v>
                </c:pt>
                <c:pt idx="2">
                  <c:v>41944</c:v>
                </c:pt>
                <c:pt idx="3">
                  <c:v>41974</c:v>
                </c:pt>
                <c:pt idx="4">
                  <c:v>42005</c:v>
                </c:pt>
                <c:pt idx="5">
                  <c:v>42036</c:v>
                </c:pt>
                <c:pt idx="6">
                  <c:v>42064</c:v>
                </c:pt>
                <c:pt idx="7">
                  <c:v>42095</c:v>
                </c:pt>
                <c:pt idx="8">
                  <c:v>42125</c:v>
                </c:pt>
                <c:pt idx="9">
                  <c:v>42156</c:v>
                </c:pt>
                <c:pt idx="10">
                  <c:v>42186</c:v>
                </c:pt>
                <c:pt idx="11">
                  <c:v>42217</c:v>
                </c:pt>
                <c:pt idx="12">
                  <c:v>42248</c:v>
                </c:pt>
                <c:pt idx="13">
                  <c:v>42278</c:v>
                </c:pt>
                <c:pt idx="14">
                  <c:v>42309</c:v>
                </c:pt>
                <c:pt idx="15">
                  <c:v>42339</c:v>
                </c:pt>
                <c:pt idx="16">
                  <c:v>42370</c:v>
                </c:pt>
                <c:pt idx="17">
                  <c:v>42401</c:v>
                </c:pt>
                <c:pt idx="18">
                  <c:v>42430</c:v>
                </c:pt>
                <c:pt idx="19">
                  <c:v>42461</c:v>
                </c:pt>
                <c:pt idx="20">
                  <c:v>42491</c:v>
                </c:pt>
                <c:pt idx="21">
                  <c:v>42522</c:v>
                </c:pt>
                <c:pt idx="22">
                  <c:v>42552</c:v>
                </c:pt>
                <c:pt idx="23">
                  <c:v>42583</c:v>
                </c:pt>
                <c:pt idx="24">
                  <c:v>42614</c:v>
                </c:pt>
                <c:pt idx="25">
                  <c:v>42644</c:v>
                </c:pt>
                <c:pt idx="26">
                  <c:v>42675</c:v>
                </c:pt>
                <c:pt idx="27">
                  <c:v>42705</c:v>
                </c:pt>
                <c:pt idx="28">
                  <c:v>42736</c:v>
                </c:pt>
                <c:pt idx="29">
                  <c:v>42767</c:v>
                </c:pt>
                <c:pt idx="30">
                  <c:v>42795</c:v>
                </c:pt>
              </c:numCache>
            </c:numRef>
          </c:cat>
          <c:val>
            <c:numRef>
              <c:f>'Q1 2017'!$C$2:$C$32</c:f>
              <c:numCache>
                <c:formatCode>General</c:formatCode>
                <c:ptCount val="31"/>
                <c:pt idx="0">
                  <c:v>11.26</c:v>
                </c:pt>
                <c:pt idx="1">
                  <c:v>11.53</c:v>
                </c:pt>
                <c:pt idx="2">
                  <c:v>11.43</c:v>
                </c:pt>
                <c:pt idx="3">
                  <c:v>11.43</c:v>
                </c:pt>
                <c:pt idx="4">
                  <c:v>11.42</c:v>
                </c:pt>
                <c:pt idx="5">
                  <c:v>11.56</c:v>
                </c:pt>
                <c:pt idx="6">
                  <c:v>11.62</c:v>
                </c:pt>
                <c:pt idx="7">
                  <c:v>11.61</c:v>
                </c:pt>
                <c:pt idx="8">
                  <c:v>11.8</c:v>
                </c:pt>
                <c:pt idx="9">
                  <c:v>11.79</c:v>
                </c:pt>
                <c:pt idx="10">
                  <c:v>11.89</c:v>
                </c:pt>
                <c:pt idx="11">
                  <c:v>11.94</c:v>
                </c:pt>
                <c:pt idx="12">
                  <c:v>11.98</c:v>
                </c:pt>
                <c:pt idx="13">
                  <c:v>11.9</c:v>
                </c:pt>
                <c:pt idx="14">
                  <c:v>11.88</c:v>
                </c:pt>
                <c:pt idx="15">
                  <c:v>11.9</c:v>
                </c:pt>
                <c:pt idx="16">
                  <c:v>12.03</c:v>
                </c:pt>
                <c:pt idx="17">
                  <c:v>12.39</c:v>
                </c:pt>
                <c:pt idx="18">
                  <c:v>12.51</c:v>
                </c:pt>
                <c:pt idx="19">
                  <c:v>12.66</c:v>
                </c:pt>
                <c:pt idx="20">
                  <c:v>12.82</c:v>
                </c:pt>
                <c:pt idx="21">
                  <c:v>12.85</c:v>
                </c:pt>
                <c:pt idx="22">
                  <c:v>13.01</c:v>
                </c:pt>
                <c:pt idx="23">
                  <c:v>13.34</c:v>
                </c:pt>
                <c:pt idx="24">
                  <c:v>13.34</c:v>
                </c:pt>
                <c:pt idx="25" formatCode="0.00;[Red]0.00">
                  <c:v>13.52</c:v>
                </c:pt>
                <c:pt idx="26" formatCode="0.00;[Red]0.00">
                  <c:v>13.61</c:v>
                </c:pt>
                <c:pt idx="27" formatCode="0.00;[Red]0.00">
                  <c:v>13.6</c:v>
                </c:pt>
                <c:pt idx="28" formatCode="0.00;[Red]0.00">
                  <c:v>13.41</c:v>
                </c:pt>
                <c:pt idx="29" formatCode="0.00;[Red]0.00">
                  <c:v>13.38</c:v>
                </c:pt>
                <c:pt idx="30" formatCode="0.00;[Red]0.00">
                  <c:v>13.43</c:v>
                </c:pt>
              </c:numCache>
            </c:numRef>
          </c:val>
          <c:smooth val="0"/>
        </c:ser>
        <c:ser>
          <c:idx val="1"/>
          <c:order val="1"/>
          <c:tx>
            <c:strRef>
              <c:f>'Q1 2017'!$D$1</c:f>
              <c:strCache>
                <c:ptCount val="1"/>
                <c:pt idx="0">
                  <c:v>Bread brown 600gr</c:v>
                </c:pt>
              </c:strCache>
            </c:strRef>
          </c:tx>
          <c:marker>
            <c:symbol val="none"/>
          </c:marker>
          <c:cat>
            <c:numRef>
              <c:f>'Q1 2017'!$A$2:$A$32</c:f>
              <c:numCache>
                <c:formatCode>mmm\-yyyy</c:formatCode>
                <c:ptCount val="31"/>
                <c:pt idx="0">
                  <c:v>41883</c:v>
                </c:pt>
                <c:pt idx="1">
                  <c:v>41913</c:v>
                </c:pt>
                <c:pt idx="2">
                  <c:v>41944</c:v>
                </c:pt>
                <c:pt idx="3">
                  <c:v>41974</c:v>
                </c:pt>
                <c:pt idx="4">
                  <c:v>42005</c:v>
                </c:pt>
                <c:pt idx="5">
                  <c:v>42036</c:v>
                </c:pt>
                <c:pt idx="6">
                  <c:v>42064</c:v>
                </c:pt>
                <c:pt idx="7">
                  <c:v>42095</c:v>
                </c:pt>
                <c:pt idx="8">
                  <c:v>42125</c:v>
                </c:pt>
                <c:pt idx="9">
                  <c:v>42156</c:v>
                </c:pt>
                <c:pt idx="10">
                  <c:v>42186</c:v>
                </c:pt>
                <c:pt idx="11">
                  <c:v>42217</c:v>
                </c:pt>
                <c:pt idx="12">
                  <c:v>42248</c:v>
                </c:pt>
                <c:pt idx="13">
                  <c:v>42278</c:v>
                </c:pt>
                <c:pt idx="14">
                  <c:v>42309</c:v>
                </c:pt>
                <c:pt idx="15">
                  <c:v>42339</c:v>
                </c:pt>
                <c:pt idx="16">
                  <c:v>42370</c:v>
                </c:pt>
                <c:pt idx="17">
                  <c:v>42401</c:v>
                </c:pt>
                <c:pt idx="18">
                  <c:v>42430</c:v>
                </c:pt>
                <c:pt idx="19">
                  <c:v>42461</c:v>
                </c:pt>
                <c:pt idx="20">
                  <c:v>42491</c:v>
                </c:pt>
                <c:pt idx="21">
                  <c:v>42522</c:v>
                </c:pt>
                <c:pt idx="22">
                  <c:v>42552</c:v>
                </c:pt>
                <c:pt idx="23">
                  <c:v>42583</c:v>
                </c:pt>
                <c:pt idx="24">
                  <c:v>42614</c:v>
                </c:pt>
                <c:pt idx="25">
                  <c:v>42644</c:v>
                </c:pt>
                <c:pt idx="26">
                  <c:v>42675</c:v>
                </c:pt>
                <c:pt idx="27">
                  <c:v>42705</c:v>
                </c:pt>
                <c:pt idx="28">
                  <c:v>42736</c:v>
                </c:pt>
                <c:pt idx="29">
                  <c:v>42767</c:v>
                </c:pt>
                <c:pt idx="30">
                  <c:v>42795</c:v>
                </c:pt>
              </c:numCache>
            </c:numRef>
          </c:cat>
          <c:val>
            <c:numRef>
              <c:f>'Q1 2017'!$D$2:$D$32</c:f>
              <c:numCache>
                <c:formatCode>General</c:formatCode>
                <c:ptCount val="31"/>
                <c:pt idx="0">
                  <c:v>7.07</c:v>
                </c:pt>
                <c:pt idx="1">
                  <c:v>6.38</c:v>
                </c:pt>
                <c:pt idx="2">
                  <c:v>6.29</c:v>
                </c:pt>
                <c:pt idx="3">
                  <c:v>6.36</c:v>
                </c:pt>
                <c:pt idx="4">
                  <c:v>6.38</c:v>
                </c:pt>
                <c:pt idx="5">
                  <c:v>6.4</c:v>
                </c:pt>
                <c:pt idx="6">
                  <c:v>6.41</c:v>
                </c:pt>
                <c:pt idx="7">
                  <c:v>6.34</c:v>
                </c:pt>
                <c:pt idx="8">
                  <c:v>6.39</c:v>
                </c:pt>
                <c:pt idx="9">
                  <c:v>6.5</c:v>
                </c:pt>
                <c:pt idx="10">
                  <c:v>6.58</c:v>
                </c:pt>
                <c:pt idx="11">
                  <c:v>6.51</c:v>
                </c:pt>
                <c:pt idx="12">
                  <c:v>6.42</c:v>
                </c:pt>
                <c:pt idx="13">
                  <c:v>6.53</c:v>
                </c:pt>
                <c:pt idx="14">
                  <c:v>6.39</c:v>
                </c:pt>
                <c:pt idx="15">
                  <c:v>6.55</c:v>
                </c:pt>
                <c:pt idx="16">
                  <c:v>6.57</c:v>
                </c:pt>
                <c:pt idx="17">
                  <c:v>6.65</c:v>
                </c:pt>
                <c:pt idx="18">
                  <c:v>6.76</c:v>
                </c:pt>
                <c:pt idx="19">
                  <c:v>6.72</c:v>
                </c:pt>
                <c:pt idx="20">
                  <c:v>6.68</c:v>
                </c:pt>
                <c:pt idx="21">
                  <c:v>6.69</c:v>
                </c:pt>
                <c:pt idx="22">
                  <c:v>6.6</c:v>
                </c:pt>
                <c:pt idx="23">
                  <c:v>6.53</c:v>
                </c:pt>
                <c:pt idx="24">
                  <c:v>6.57</c:v>
                </c:pt>
                <c:pt idx="25" formatCode="0.00;[Red]0.00">
                  <c:v>6.65</c:v>
                </c:pt>
                <c:pt idx="26" formatCode="0.00;[Red]0.00">
                  <c:v>6.51</c:v>
                </c:pt>
                <c:pt idx="27" formatCode="0.00;[Red]0.00">
                  <c:v>6.53</c:v>
                </c:pt>
                <c:pt idx="28" formatCode="0.00;[Red]0.00">
                  <c:v>6.56</c:v>
                </c:pt>
                <c:pt idx="29" formatCode="0.00;[Red]0.00">
                  <c:v>6.52</c:v>
                </c:pt>
                <c:pt idx="30" formatCode="0.00;[Red]0.00">
                  <c:v>6.61</c:v>
                </c:pt>
              </c:numCache>
            </c:numRef>
          </c:val>
          <c:smooth val="0"/>
        </c:ser>
        <c:ser>
          <c:idx val="2"/>
          <c:order val="2"/>
          <c:tx>
            <c:strRef>
              <c:f>'Q1 2017'!$E$1</c:f>
              <c:strCache>
                <c:ptCount val="1"/>
                <c:pt idx="0">
                  <c:v>Bread brown 700gr</c:v>
                </c:pt>
              </c:strCache>
            </c:strRef>
          </c:tx>
          <c:spPr>
            <a:ln>
              <a:solidFill>
                <a:srgbClr val="005D28"/>
              </a:solidFill>
            </a:ln>
          </c:spPr>
          <c:marker>
            <c:symbol val="none"/>
          </c:marker>
          <c:cat>
            <c:numRef>
              <c:f>'Q1 2017'!$A$2:$A$32</c:f>
              <c:numCache>
                <c:formatCode>mmm\-yyyy</c:formatCode>
                <c:ptCount val="31"/>
                <c:pt idx="0">
                  <c:v>41883</c:v>
                </c:pt>
                <c:pt idx="1">
                  <c:v>41913</c:v>
                </c:pt>
                <c:pt idx="2">
                  <c:v>41944</c:v>
                </c:pt>
                <c:pt idx="3">
                  <c:v>41974</c:v>
                </c:pt>
                <c:pt idx="4">
                  <c:v>42005</c:v>
                </c:pt>
                <c:pt idx="5">
                  <c:v>42036</c:v>
                </c:pt>
                <c:pt idx="6">
                  <c:v>42064</c:v>
                </c:pt>
                <c:pt idx="7">
                  <c:v>42095</c:v>
                </c:pt>
                <c:pt idx="8">
                  <c:v>42125</c:v>
                </c:pt>
                <c:pt idx="9">
                  <c:v>42156</c:v>
                </c:pt>
                <c:pt idx="10">
                  <c:v>42186</c:v>
                </c:pt>
                <c:pt idx="11">
                  <c:v>42217</c:v>
                </c:pt>
                <c:pt idx="12">
                  <c:v>42248</c:v>
                </c:pt>
                <c:pt idx="13">
                  <c:v>42278</c:v>
                </c:pt>
                <c:pt idx="14">
                  <c:v>42309</c:v>
                </c:pt>
                <c:pt idx="15">
                  <c:v>42339</c:v>
                </c:pt>
                <c:pt idx="16">
                  <c:v>42370</c:v>
                </c:pt>
                <c:pt idx="17">
                  <c:v>42401</c:v>
                </c:pt>
                <c:pt idx="18">
                  <c:v>42430</c:v>
                </c:pt>
                <c:pt idx="19">
                  <c:v>42461</c:v>
                </c:pt>
                <c:pt idx="20">
                  <c:v>42491</c:v>
                </c:pt>
                <c:pt idx="21">
                  <c:v>42522</c:v>
                </c:pt>
                <c:pt idx="22">
                  <c:v>42552</c:v>
                </c:pt>
                <c:pt idx="23">
                  <c:v>42583</c:v>
                </c:pt>
                <c:pt idx="24">
                  <c:v>42614</c:v>
                </c:pt>
                <c:pt idx="25">
                  <c:v>42644</c:v>
                </c:pt>
                <c:pt idx="26">
                  <c:v>42675</c:v>
                </c:pt>
                <c:pt idx="27">
                  <c:v>42705</c:v>
                </c:pt>
                <c:pt idx="28">
                  <c:v>42736</c:v>
                </c:pt>
                <c:pt idx="29">
                  <c:v>42767</c:v>
                </c:pt>
                <c:pt idx="30">
                  <c:v>42795</c:v>
                </c:pt>
              </c:numCache>
            </c:numRef>
          </c:cat>
          <c:val>
            <c:numRef>
              <c:f>'Q1 2017'!$E$2:$E$32</c:f>
              <c:numCache>
                <c:formatCode>General</c:formatCode>
                <c:ptCount val="31"/>
                <c:pt idx="0">
                  <c:v>10.08</c:v>
                </c:pt>
                <c:pt idx="1">
                  <c:v>10.15</c:v>
                </c:pt>
                <c:pt idx="2">
                  <c:v>10.25</c:v>
                </c:pt>
                <c:pt idx="3">
                  <c:v>10.24</c:v>
                </c:pt>
                <c:pt idx="4">
                  <c:v>10.29</c:v>
                </c:pt>
                <c:pt idx="5">
                  <c:v>10.33</c:v>
                </c:pt>
                <c:pt idx="6">
                  <c:v>10.51</c:v>
                </c:pt>
                <c:pt idx="7">
                  <c:v>10.51</c:v>
                </c:pt>
                <c:pt idx="8">
                  <c:v>10.62</c:v>
                </c:pt>
                <c:pt idx="9">
                  <c:v>10.62</c:v>
                </c:pt>
                <c:pt idx="10">
                  <c:v>10.64</c:v>
                </c:pt>
                <c:pt idx="11">
                  <c:v>10.68</c:v>
                </c:pt>
                <c:pt idx="12">
                  <c:v>10.66</c:v>
                </c:pt>
                <c:pt idx="13">
                  <c:v>10.77</c:v>
                </c:pt>
                <c:pt idx="14">
                  <c:v>10.8</c:v>
                </c:pt>
                <c:pt idx="15">
                  <c:v>10.82</c:v>
                </c:pt>
                <c:pt idx="16">
                  <c:v>10.88</c:v>
                </c:pt>
                <c:pt idx="17">
                  <c:v>11.22</c:v>
                </c:pt>
                <c:pt idx="18">
                  <c:v>11.33</c:v>
                </c:pt>
                <c:pt idx="19">
                  <c:v>11.5</c:v>
                </c:pt>
                <c:pt idx="20">
                  <c:v>11.68</c:v>
                </c:pt>
                <c:pt idx="21">
                  <c:v>11.66</c:v>
                </c:pt>
                <c:pt idx="22">
                  <c:v>11.86</c:v>
                </c:pt>
                <c:pt idx="23">
                  <c:v>12.11</c:v>
                </c:pt>
                <c:pt idx="24">
                  <c:v>12.27</c:v>
                </c:pt>
                <c:pt idx="25" formatCode="0.00;[Red]0.00">
                  <c:v>12.26</c:v>
                </c:pt>
                <c:pt idx="26" formatCode="0.00;[Red]0.00">
                  <c:v>12.24</c:v>
                </c:pt>
                <c:pt idx="27" formatCode="0.00;[Red]0.00">
                  <c:v>12.28</c:v>
                </c:pt>
                <c:pt idx="28" formatCode="0.00;[Red]0.00">
                  <c:v>12.31</c:v>
                </c:pt>
                <c:pt idx="29" formatCode="0.00;[Red]0.00">
                  <c:v>12.23</c:v>
                </c:pt>
                <c:pt idx="30" formatCode="0.00;[Red]0.00">
                  <c:v>12.15</c:v>
                </c:pt>
              </c:numCache>
            </c:numRef>
          </c:val>
          <c:smooth val="0"/>
        </c:ser>
        <c:ser>
          <c:idx val="3"/>
          <c:order val="3"/>
          <c:tx>
            <c:strRef>
              <c:f>'Q1 2017'!$F$1</c:f>
              <c:strCache>
                <c:ptCount val="1"/>
                <c:pt idx="0">
                  <c:v>Cake flour 1kg</c:v>
                </c:pt>
              </c:strCache>
            </c:strRef>
          </c:tx>
          <c:spPr>
            <a:ln>
              <a:solidFill>
                <a:srgbClr val="531A17"/>
              </a:solidFill>
            </a:ln>
          </c:spPr>
          <c:marker>
            <c:symbol val="none"/>
          </c:marker>
          <c:cat>
            <c:numRef>
              <c:f>'Q1 2017'!$A$2:$A$32</c:f>
              <c:numCache>
                <c:formatCode>mmm\-yyyy</c:formatCode>
                <c:ptCount val="31"/>
                <c:pt idx="0">
                  <c:v>41883</c:v>
                </c:pt>
                <c:pt idx="1">
                  <c:v>41913</c:v>
                </c:pt>
                <c:pt idx="2">
                  <c:v>41944</c:v>
                </c:pt>
                <c:pt idx="3">
                  <c:v>41974</c:v>
                </c:pt>
                <c:pt idx="4">
                  <c:v>42005</c:v>
                </c:pt>
                <c:pt idx="5">
                  <c:v>42036</c:v>
                </c:pt>
                <c:pt idx="6">
                  <c:v>42064</c:v>
                </c:pt>
                <c:pt idx="7">
                  <c:v>42095</c:v>
                </c:pt>
                <c:pt idx="8">
                  <c:v>42125</c:v>
                </c:pt>
                <c:pt idx="9">
                  <c:v>42156</c:v>
                </c:pt>
                <c:pt idx="10">
                  <c:v>42186</c:v>
                </c:pt>
                <c:pt idx="11">
                  <c:v>42217</c:v>
                </c:pt>
                <c:pt idx="12">
                  <c:v>42248</c:v>
                </c:pt>
                <c:pt idx="13">
                  <c:v>42278</c:v>
                </c:pt>
                <c:pt idx="14">
                  <c:v>42309</c:v>
                </c:pt>
                <c:pt idx="15">
                  <c:v>42339</c:v>
                </c:pt>
                <c:pt idx="16">
                  <c:v>42370</c:v>
                </c:pt>
                <c:pt idx="17">
                  <c:v>42401</c:v>
                </c:pt>
                <c:pt idx="18">
                  <c:v>42430</c:v>
                </c:pt>
                <c:pt idx="19">
                  <c:v>42461</c:v>
                </c:pt>
                <c:pt idx="20">
                  <c:v>42491</c:v>
                </c:pt>
                <c:pt idx="21">
                  <c:v>42522</c:v>
                </c:pt>
                <c:pt idx="22">
                  <c:v>42552</c:v>
                </c:pt>
                <c:pt idx="23">
                  <c:v>42583</c:v>
                </c:pt>
                <c:pt idx="24">
                  <c:v>42614</c:v>
                </c:pt>
                <c:pt idx="25">
                  <c:v>42644</c:v>
                </c:pt>
                <c:pt idx="26">
                  <c:v>42675</c:v>
                </c:pt>
                <c:pt idx="27">
                  <c:v>42705</c:v>
                </c:pt>
                <c:pt idx="28">
                  <c:v>42736</c:v>
                </c:pt>
                <c:pt idx="29">
                  <c:v>42767</c:v>
                </c:pt>
                <c:pt idx="30">
                  <c:v>42795</c:v>
                </c:pt>
              </c:numCache>
            </c:numRef>
          </c:cat>
          <c:val>
            <c:numRef>
              <c:f>'Q1 2017'!$F$2:$F$32</c:f>
              <c:numCache>
                <c:formatCode>General</c:formatCode>
                <c:ptCount val="31"/>
                <c:pt idx="0">
                  <c:v>11.69</c:v>
                </c:pt>
                <c:pt idx="1">
                  <c:v>11.77</c:v>
                </c:pt>
                <c:pt idx="2">
                  <c:v>11.64</c:v>
                </c:pt>
                <c:pt idx="3">
                  <c:v>11.59</c:v>
                </c:pt>
                <c:pt idx="4">
                  <c:v>11.54</c:v>
                </c:pt>
                <c:pt idx="5">
                  <c:v>11.6</c:v>
                </c:pt>
                <c:pt idx="6">
                  <c:v>11.82</c:v>
                </c:pt>
                <c:pt idx="7">
                  <c:v>12.1</c:v>
                </c:pt>
                <c:pt idx="8">
                  <c:v>12.23</c:v>
                </c:pt>
                <c:pt idx="9">
                  <c:v>12.26</c:v>
                </c:pt>
                <c:pt idx="10">
                  <c:v>12.35</c:v>
                </c:pt>
                <c:pt idx="11">
                  <c:v>12.24</c:v>
                </c:pt>
                <c:pt idx="12">
                  <c:v>12.36</c:v>
                </c:pt>
                <c:pt idx="13">
                  <c:v>12.3</c:v>
                </c:pt>
                <c:pt idx="14">
                  <c:v>12.61</c:v>
                </c:pt>
                <c:pt idx="15">
                  <c:v>12.61</c:v>
                </c:pt>
                <c:pt idx="16">
                  <c:v>12.32</c:v>
                </c:pt>
                <c:pt idx="17">
                  <c:v>12.13</c:v>
                </c:pt>
                <c:pt idx="18">
                  <c:v>12.16</c:v>
                </c:pt>
                <c:pt idx="19">
                  <c:v>12.22</c:v>
                </c:pt>
                <c:pt idx="20">
                  <c:v>12.34</c:v>
                </c:pt>
                <c:pt idx="21">
                  <c:v>12.34</c:v>
                </c:pt>
                <c:pt idx="22">
                  <c:v>12.33</c:v>
                </c:pt>
                <c:pt idx="23">
                  <c:v>12.36</c:v>
                </c:pt>
                <c:pt idx="24">
                  <c:v>12.42</c:v>
                </c:pt>
                <c:pt idx="25" formatCode="0.00;[Red]0.00">
                  <c:v>12.49</c:v>
                </c:pt>
                <c:pt idx="26" formatCode="0.00;[Red]0.00">
                  <c:v>12.6</c:v>
                </c:pt>
                <c:pt idx="27" formatCode="0.00;[Red]0.00">
                  <c:v>12.75</c:v>
                </c:pt>
                <c:pt idx="28" formatCode="0.00;[Red]0.00">
                  <c:v>12.96</c:v>
                </c:pt>
                <c:pt idx="29" formatCode="0.00;[Red]0.00">
                  <c:v>12.88</c:v>
                </c:pt>
                <c:pt idx="30" formatCode="0.00;[Red]0.00">
                  <c:v>12.9</c:v>
                </c:pt>
              </c:numCache>
            </c:numRef>
          </c:val>
          <c:smooth val="0"/>
        </c:ser>
        <c:ser>
          <c:idx val="4"/>
          <c:order val="4"/>
          <c:tx>
            <c:strRef>
              <c:f>'Q1 2017'!$G$1</c:f>
              <c:strCache>
                <c:ptCount val="1"/>
                <c:pt idx="0">
                  <c:v>Bread flour 1kg</c:v>
                </c:pt>
              </c:strCache>
            </c:strRef>
          </c:tx>
          <c:spPr>
            <a:ln>
              <a:solidFill>
                <a:srgbClr val="F9671C"/>
              </a:solidFill>
            </a:ln>
          </c:spPr>
          <c:marker>
            <c:symbol val="none"/>
          </c:marker>
          <c:cat>
            <c:numRef>
              <c:f>'Q1 2017'!$A$2:$A$32</c:f>
              <c:numCache>
                <c:formatCode>mmm\-yyyy</c:formatCode>
                <c:ptCount val="31"/>
                <c:pt idx="0">
                  <c:v>41883</c:v>
                </c:pt>
                <c:pt idx="1">
                  <c:v>41913</c:v>
                </c:pt>
                <c:pt idx="2">
                  <c:v>41944</c:v>
                </c:pt>
                <c:pt idx="3">
                  <c:v>41974</c:v>
                </c:pt>
                <c:pt idx="4">
                  <c:v>42005</c:v>
                </c:pt>
                <c:pt idx="5">
                  <c:v>42036</c:v>
                </c:pt>
                <c:pt idx="6">
                  <c:v>42064</c:v>
                </c:pt>
                <c:pt idx="7">
                  <c:v>42095</c:v>
                </c:pt>
                <c:pt idx="8">
                  <c:v>42125</c:v>
                </c:pt>
                <c:pt idx="9">
                  <c:v>42156</c:v>
                </c:pt>
                <c:pt idx="10">
                  <c:v>42186</c:v>
                </c:pt>
                <c:pt idx="11">
                  <c:v>42217</c:v>
                </c:pt>
                <c:pt idx="12">
                  <c:v>42248</c:v>
                </c:pt>
                <c:pt idx="13">
                  <c:v>42278</c:v>
                </c:pt>
                <c:pt idx="14">
                  <c:v>42309</c:v>
                </c:pt>
                <c:pt idx="15">
                  <c:v>42339</c:v>
                </c:pt>
                <c:pt idx="16">
                  <c:v>42370</c:v>
                </c:pt>
                <c:pt idx="17">
                  <c:v>42401</c:v>
                </c:pt>
                <c:pt idx="18">
                  <c:v>42430</c:v>
                </c:pt>
                <c:pt idx="19">
                  <c:v>42461</c:v>
                </c:pt>
                <c:pt idx="20">
                  <c:v>42491</c:v>
                </c:pt>
                <c:pt idx="21">
                  <c:v>42522</c:v>
                </c:pt>
                <c:pt idx="22">
                  <c:v>42552</c:v>
                </c:pt>
                <c:pt idx="23">
                  <c:v>42583</c:v>
                </c:pt>
                <c:pt idx="24">
                  <c:v>42614</c:v>
                </c:pt>
                <c:pt idx="25">
                  <c:v>42644</c:v>
                </c:pt>
                <c:pt idx="26">
                  <c:v>42675</c:v>
                </c:pt>
                <c:pt idx="27">
                  <c:v>42705</c:v>
                </c:pt>
                <c:pt idx="28">
                  <c:v>42736</c:v>
                </c:pt>
                <c:pt idx="29">
                  <c:v>42767</c:v>
                </c:pt>
                <c:pt idx="30">
                  <c:v>42795</c:v>
                </c:pt>
              </c:numCache>
            </c:numRef>
          </c:cat>
          <c:val>
            <c:numRef>
              <c:f>'Q1 2017'!$G$2:$G$32</c:f>
              <c:numCache>
                <c:formatCode>General</c:formatCode>
                <c:ptCount val="31"/>
                <c:pt idx="0">
                  <c:v>11.55</c:v>
                </c:pt>
                <c:pt idx="1">
                  <c:v>10.87</c:v>
                </c:pt>
                <c:pt idx="2">
                  <c:v>11.29</c:v>
                </c:pt>
                <c:pt idx="3">
                  <c:v>11.24</c:v>
                </c:pt>
                <c:pt idx="4">
                  <c:v>10.74</c:v>
                </c:pt>
                <c:pt idx="5">
                  <c:v>10.74</c:v>
                </c:pt>
                <c:pt idx="6">
                  <c:v>10.87</c:v>
                </c:pt>
                <c:pt idx="7">
                  <c:v>11.33</c:v>
                </c:pt>
                <c:pt idx="8">
                  <c:v>12.03</c:v>
                </c:pt>
                <c:pt idx="9">
                  <c:v>12.07</c:v>
                </c:pt>
                <c:pt idx="10">
                  <c:v>12.05</c:v>
                </c:pt>
                <c:pt idx="11">
                  <c:v>11.87</c:v>
                </c:pt>
                <c:pt idx="12">
                  <c:v>11.87</c:v>
                </c:pt>
                <c:pt idx="13">
                  <c:v>12.05</c:v>
                </c:pt>
                <c:pt idx="14">
                  <c:v>12.46</c:v>
                </c:pt>
                <c:pt idx="15">
                  <c:v>11.95</c:v>
                </c:pt>
                <c:pt idx="16">
                  <c:v>12.15</c:v>
                </c:pt>
                <c:pt idx="17">
                  <c:v>12.62</c:v>
                </c:pt>
                <c:pt idx="18">
                  <c:v>12.56</c:v>
                </c:pt>
                <c:pt idx="19">
                  <c:v>12.99</c:v>
                </c:pt>
                <c:pt idx="20">
                  <c:v>12.82</c:v>
                </c:pt>
                <c:pt idx="21">
                  <c:v>12.99</c:v>
                </c:pt>
                <c:pt idx="22">
                  <c:v>13.1</c:v>
                </c:pt>
                <c:pt idx="23">
                  <c:v>13.32</c:v>
                </c:pt>
                <c:pt idx="24">
                  <c:v>12.87</c:v>
                </c:pt>
                <c:pt idx="25" formatCode="0.00;[Red]0.00">
                  <c:v>12.93</c:v>
                </c:pt>
                <c:pt idx="26" formatCode="0.00;[Red]0.00">
                  <c:v>13.38</c:v>
                </c:pt>
                <c:pt idx="27" formatCode="0.00;[Red]0.00">
                  <c:v>13.38</c:v>
                </c:pt>
                <c:pt idx="28" formatCode="0.00;[Red]0.00">
                  <c:v>13.68</c:v>
                </c:pt>
                <c:pt idx="29" formatCode="0.00;[Red]0.00">
                  <c:v>13.61</c:v>
                </c:pt>
                <c:pt idx="30" formatCode="0.00;[Red]0.00">
                  <c:v>13.36</c:v>
                </c:pt>
              </c:numCache>
            </c:numRef>
          </c:val>
          <c:smooth val="0"/>
        </c:ser>
        <c:dLbls>
          <c:showLegendKey val="0"/>
          <c:showVal val="0"/>
          <c:showCatName val="0"/>
          <c:showSerName val="0"/>
          <c:showPercent val="0"/>
          <c:showBubbleSize val="0"/>
        </c:dLbls>
        <c:marker val="1"/>
        <c:smooth val="0"/>
        <c:axId val="555966848"/>
        <c:axId val="555960576"/>
      </c:lineChart>
      <c:dateAx>
        <c:axId val="555948672"/>
        <c:scaling>
          <c:orientation val="minMax"/>
          <c:max val="42795"/>
          <c:min val="41883"/>
        </c:scaling>
        <c:delete val="0"/>
        <c:axPos val="b"/>
        <c:numFmt formatCode="mmm\-yyyy" sourceLinked="1"/>
        <c:majorTickMark val="out"/>
        <c:minorTickMark val="none"/>
        <c:tickLblPos val="nextTo"/>
        <c:crossAx val="555958656"/>
        <c:crosses val="autoZero"/>
        <c:auto val="1"/>
        <c:lblOffset val="100"/>
        <c:baseTimeUnit val="months"/>
        <c:majorUnit val="1"/>
        <c:majorTimeUnit val="months"/>
        <c:minorUnit val="1"/>
        <c:minorTimeUnit val="months"/>
      </c:dateAx>
      <c:valAx>
        <c:axId val="555958656"/>
        <c:scaling>
          <c:orientation val="minMax"/>
        </c:scaling>
        <c:delete val="0"/>
        <c:axPos val="l"/>
        <c:majorGridlines/>
        <c:title>
          <c:tx>
            <c:rich>
              <a:bodyPr rot="-5400000" vert="horz"/>
              <a:lstStyle/>
              <a:p>
                <a:pPr>
                  <a:defRPr/>
                </a:pPr>
                <a:r>
                  <a:rPr lang="en-ZA"/>
                  <a:t>R/Ton</a:t>
                </a:r>
              </a:p>
            </c:rich>
          </c:tx>
          <c:overlay val="0"/>
        </c:title>
        <c:numFmt formatCode="General" sourceLinked="1"/>
        <c:majorTickMark val="out"/>
        <c:minorTickMark val="none"/>
        <c:tickLblPos val="nextTo"/>
        <c:crossAx val="555948672"/>
        <c:crosses val="autoZero"/>
        <c:crossBetween val="between"/>
      </c:valAx>
      <c:valAx>
        <c:axId val="555960576"/>
        <c:scaling>
          <c:orientation val="minMax"/>
        </c:scaling>
        <c:delete val="0"/>
        <c:axPos val="r"/>
        <c:title>
          <c:tx>
            <c:rich>
              <a:bodyPr rot="-5400000" vert="horz"/>
              <a:lstStyle/>
              <a:p>
                <a:pPr>
                  <a:defRPr/>
                </a:pPr>
                <a:r>
                  <a:rPr lang="en-ZA"/>
                  <a:t>Rand</a:t>
                </a:r>
                <a:r>
                  <a:rPr lang="en-ZA" baseline="0"/>
                  <a:t> Price</a:t>
                </a:r>
                <a:endParaRPr lang="en-ZA"/>
              </a:p>
            </c:rich>
          </c:tx>
          <c:overlay val="0"/>
        </c:title>
        <c:numFmt formatCode="General" sourceLinked="1"/>
        <c:majorTickMark val="out"/>
        <c:minorTickMark val="none"/>
        <c:tickLblPos val="nextTo"/>
        <c:crossAx val="555966848"/>
        <c:crosses val="max"/>
        <c:crossBetween val="between"/>
      </c:valAx>
      <c:dateAx>
        <c:axId val="555966848"/>
        <c:scaling>
          <c:orientation val="minMax"/>
        </c:scaling>
        <c:delete val="1"/>
        <c:axPos val="b"/>
        <c:numFmt formatCode="mmm\-yyyy" sourceLinked="1"/>
        <c:majorTickMark val="out"/>
        <c:minorTickMark val="none"/>
        <c:tickLblPos val="nextTo"/>
        <c:crossAx val="555960576"/>
        <c:crosses val="autoZero"/>
        <c:auto val="1"/>
        <c:lblOffset val="100"/>
        <c:baseTimeUnit val="months"/>
      </c:dateAx>
    </c:plotArea>
    <c:legend>
      <c:legendPos val="b"/>
      <c:overlay val="0"/>
    </c:legend>
    <c:plotVisOnly val="1"/>
    <c:dispBlanksAs val="gap"/>
    <c:showDLblsOverMax val="0"/>
  </c:chart>
  <c:spPr>
    <a:solidFill>
      <a:schemeClr val="accent3">
        <a:lumMod val="20000"/>
        <a:lumOff val="80000"/>
      </a:schemeClr>
    </a:solidFill>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Sheet1!$B$2</c:f>
              <c:strCache>
                <c:ptCount val="1"/>
                <c:pt idx="0">
                  <c:v>Producer deliveries</c:v>
                </c:pt>
              </c:strCache>
            </c:strRef>
          </c:tx>
          <c:spPr>
            <a:solidFill>
              <a:schemeClr val="tx1"/>
            </a:solidFill>
          </c:spPr>
          <c:invertIfNegative val="0"/>
          <c:cat>
            <c:strRef>
              <c:f>Sheet1!$A$3:$A$15</c:f>
              <c:strCache>
                <c:ptCount val="13"/>
                <c:pt idx="0">
                  <c:v>Q1 2014</c:v>
                </c:pt>
                <c:pt idx="1">
                  <c:v>Q2 2014</c:v>
                </c:pt>
                <c:pt idx="2">
                  <c:v>Q3 2014</c:v>
                </c:pt>
                <c:pt idx="3">
                  <c:v>Q4 2014</c:v>
                </c:pt>
                <c:pt idx="4">
                  <c:v>Q1 2015</c:v>
                </c:pt>
                <c:pt idx="5">
                  <c:v>Q2 2015</c:v>
                </c:pt>
                <c:pt idx="6">
                  <c:v>Q3 2015</c:v>
                </c:pt>
                <c:pt idx="7">
                  <c:v>Q4 2015</c:v>
                </c:pt>
                <c:pt idx="8">
                  <c:v>Q1 2016</c:v>
                </c:pt>
                <c:pt idx="9">
                  <c:v>Q2 2016</c:v>
                </c:pt>
                <c:pt idx="10">
                  <c:v>Q3 2016</c:v>
                </c:pt>
                <c:pt idx="11">
                  <c:v>Q4 2016</c:v>
                </c:pt>
                <c:pt idx="12">
                  <c:v>Q1 2017</c:v>
                </c:pt>
              </c:strCache>
            </c:strRef>
          </c:cat>
          <c:val>
            <c:numRef>
              <c:f>Sheet1!$B$3:$B$15</c:f>
              <c:numCache>
                <c:formatCode>General</c:formatCode>
                <c:ptCount val="13"/>
                <c:pt idx="0">
                  <c:v>197796</c:v>
                </c:pt>
                <c:pt idx="1">
                  <c:v>25847</c:v>
                </c:pt>
                <c:pt idx="2">
                  <c:v>8127</c:v>
                </c:pt>
                <c:pt idx="3">
                  <c:v>1518219</c:v>
                </c:pt>
                <c:pt idx="4">
                  <c:v>151839</c:v>
                </c:pt>
                <c:pt idx="5">
                  <c:v>20961</c:v>
                </c:pt>
                <c:pt idx="6">
                  <c:v>8527</c:v>
                </c:pt>
                <c:pt idx="7">
                  <c:v>1283367</c:v>
                </c:pt>
                <c:pt idx="8">
                  <c:v>86629</c:v>
                </c:pt>
                <c:pt idx="9">
                  <c:v>21248</c:v>
                </c:pt>
                <c:pt idx="10">
                  <c:v>15124</c:v>
                </c:pt>
                <c:pt idx="11" formatCode="0;[Red]0">
                  <c:v>1607761</c:v>
                </c:pt>
                <c:pt idx="12">
                  <c:v>221411</c:v>
                </c:pt>
              </c:numCache>
            </c:numRef>
          </c:val>
        </c:ser>
        <c:ser>
          <c:idx val="1"/>
          <c:order val="1"/>
          <c:tx>
            <c:strRef>
              <c:f>Sheet1!$C$2</c:f>
              <c:strCache>
                <c:ptCount val="1"/>
                <c:pt idx="0">
                  <c:v>Imports</c:v>
                </c:pt>
              </c:strCache>
            </c:strRef>
          </c:tx>
          <c:spPr>
            <a:solidFill>
              <a:srgbClr val="005D28"/>
            </a:solidFill>
          </c:spPr>
          <c:invertIfNegative val="0"/>
          <c:cat>
            <c:strRef>
              <c:f>Sheet1!$A$3:$A$15</c:f>
              <c:strCache>
                <c:ptCount val="13"/>
                <c:pt idx="0">
                  <c:v>Q1 2014</c:v>
                </c:pt>
                <c:pt idx="1">
                  <c:v>Q2 2014</c:v>
                </c:pt>
                <c:pt idx="2">
                  <c:v>Q3 2014</c:v>
                </c:pt>
                <c:pt idx="3">
                  <c:v>Q4 2014</c:v>
                </c:pt>
                <c:pt idx="4">
                  <c:v>Q1 2015</c:v>
                </c:pt>
                <c:pt idx="5">
                  <c:v>Q2 2015</c:v>
                </c:pt>
                <c:pt idx="6">
                  <c:v>Q3 2015</c:v>
                </c:pt>
                <c:pt idx="7">
                  <c:v>Q4 2015</c:v>
                </c:pt>
                <c:pt idx="8">
                  <c:v>Q1 2016</c:v>
                </c:pt>
                <c:pt idx="9">
                  <c:v>Q2 2016</c:v>
                </c:pt>
                <c:pt idx="10">
                  <c:v>Q3 2016</c:v>
                </c:pt>
                <c:pt idx="11">
                  <c:v>Q4 2016</c:v>
                </c:pt>
                <c:pt idx="12">
                  <c:v>Q1 2017</c:v>
                </c:pt>
              </c:strCache>
            </c:strRef>
          </c:cat>
          <c:val>
            <c:numRef>
              <c:f>Sheet1!$C$3:$C$15</c:f>
              <c:numCache>
                <c:formatCode>General</c:formatCode>
                <c:ptCount val="13"/>
                <c:pt idx="0">
                  <c:v>259146</c:v>
                </c:pt>
                <c:pt idx="1">
                  <c:v>415046</c:v>
                </c:pt>
                <c:pt idx="2">
                  <c:v>396991</c:v>
                </c:pt>
                <c:pt idx="3">
                  <c:v>568105</c:v>
                </c:pt>
                <c:pt idx="4">
                  <c:v>526415</c:v>
                </c:pt>
                <c:pt idx="5">
                  <c:v>355083</c:v>
                </c:pt>
                <c:pt idx="6">
                  <c:v>382838</c:v>
                </c:pt>
                <c:pt idx="7">
                  <c:v>497495</c:v>
                </c:pt>
                <c:pt idx="8">
                  <c:v>565587</c:v>
                </c:pt>
                <c:pt idx="9">
                  <c:v>476318</c:v>
                </c:pt>
                <c:pt idx="10">
                  <c:v>527506</c:v>
                </c:pt>
                <c:pt idx="11" formatCode="0;[Red]0">
                  <c:v>79013</c:v>
                </c:pt>
                <c:pt idx="12">
                  <c:v>307765</c:v>
                </c:pt>
              </c:numCache>
            </c:numRef>
          </c:val>
        </c:ser>
        <c:ser>
          <c:idx val="2"/>
          <c:order val="2"/>
          <c:tx>
            <c:strRef>
              <c:f>Sheet1!$D$2</c:f>
              <c:strCache>
                <c:ptCount val="1"/>
                <c:pt idx="0">
                  <c:v>Local demand</c:v>
                </c:pt>
              </c:strCache>
            </c:strRef>
          </c:tx>
          <c:spPr>
            <a:solidFill>
              <a:srgbClr val="E01F16"/>
            </a:solidFill>
            <a:ln w="6350"/>
          </c:spPr>
          <c:invertIfNegative val="0"/>
          <c:cat>
            <c:strRef>
              <c:f>Sheet1!$A$3:$A$15</c:f>
              <c:strCache>
                <c:ptCount val="13"/>
                <c:pt idx="0">
                  <c:v>Q1 2014</c:v>
                </c:pt>
                <c:pt idx="1">
                  <c:v>Q2 2014</c:v>
                </c:pt>
                <c:pt idx="2">
                  <c:v>Q3 2014</c:v>
                </c:pt>
                <c:pt idx="3">
                  <c:v>Q4 2014</c:v>
                </c:pt>
                <c:pt idx="4">
                  <c:v>Q1 2015</c:v>
                </c:pt>
                <c:pt idx="5">
                  <c:v>Q2 2015</c:v>
                </c:pt>
                <c:pt idx="6">
                  <c:v>Q3 2015</c:v>
                </c:pt>
                <c:pt idx="7">
                  <c:v>Q4 2015</c:v>
                </c:pt>
                <c:pt idx="8">
                  <c:v>Q1 2016</c:v>
                </c:pt>
                <c:pt idx="9">
                  <c:v>Q2 2016</c:v>
                </c:pt>
                <c:pt idx="10">
                  <c:v>Q3 2016</c:v>
                </c:pt>
                <c:pt idx="11">
                  <c:v>Q4 2016</c:v>
                </c:pt>
                <c:pt idx="12">
                  <c:v>Q1 2017</c:v>
                </c:pt>
              </c:strCache>
            </c:strRef>
          </c:cat>
          <c:val>
            <c:numRef>
              <c:f>Sheet1!$D$3:$D$15</c:f>
              <c:numCache>
                <c:formatCode>General</c:formatCode>
                <c:ptCount val="13"/>
                <c:pt idx="0">
                  <c:v>821591</c:v>
                </c:pt>
                <c:pt idx="1">
                  <c:v>785165</c:v>
                </c:pt>
                <c:pt idx="2">
                  <c:v>804029</c:v>
                </c:pt>
                <c:pt idx="3">
                  <c:v>789206</c:v>
                </c:pt>
                <c:pt idx="4">
                  <c:v>787964</c:v>
                </c:pt>
                <c:pt idx="5">
                  <c:v>751570</c:v>
                </c:pt>
                <c:pt idx="6">
                  <c:v>821037</c:v>
                </c:pt>
                <c:pt idx="7">
                  <c:v>789056</c:v>
                </c:pt>
                <c:pt idx="8">
                  <c:v>773909</c:v>
                </c:pt>
                <c:pt idx="9">
                  <c:v>792755</c:v>
                </c:pt>
                <c:pt idx="10">
                  <c:v>831975</c:v>
                </c:pt>
                <c:pt idx="11" formatCode="0;[Red]0">
                  <c:v>817016</c:v>
                </c:pt>
                <c:pt idx="12">
                  <c:v>748885</c:v>
                </c:pt>
              </c:numCache>
            </c:numRef>
          </c:val>
        </c:ser>
        <c:ser>
          <c:idx val="3"/>
          <c:order val="3"/>
          <c:tx>
            <c:strRef>
              <c:f>Sheet1!$E$2</c:f>
              <c:strCache>
                <c:ptCount val="1"/>
                <c:pt idx="0">
                  <c:v>Exports</c:v>
                </c:pt>
              </c:strCache>
            </c:strRef>
          </c:tx>
          <c:spPr>
            <a:solidFill>
              <a:srgbClr val="BB8F2B"/>
            </a:solidFill>
          </c:spPr>
          <c:invertIfNegative val="0"/>
          <c:cat>
            <c:strRef>
              <c:f>Sheet1!$A$3:$A$15</c:f>
              <c:strCache>
                <c:ptCount val="13"/>
                <c:pt idx="0">
                  <c:v>Q1 2014</c:v>
                </c:pt>
                <c:pt idx="1">
                  <c:v>Q2 2014</c:v>
                </c:pt>
                <c:pt idx="2">
                  <c:v>Q3 2014</c:v>
                </c:pt>
                <c:pt idx="3">
                  <c:v>Q4 2014</c:v>
                </c:pt>
                <c:pt idx="4">
                  <c:v>Q1 2015</c:v>
                </c:pt>
                <c:pt idx="5">
                  <c:v>Q2 2015</c:v>
                </c:pt>
                <c:pt idx="6">
                  <c:v>Q3 2015</c:v>
                </c:pt>
                <c:pt idx="7">
                  <c:v>Q4 2015</c:v>
                </c:pt>
                <c:pt idx="8">
                  <c:v>Q1 2016</c:v>
                </c:pt>
                <c:pt idx="9">
                  <c:v>Q2 2016</c:v>
                </c:pt>
                <c:pt idx="10">
                  <c:v>Q3 2016</c:v>
                </c:pt>
                <c:pt idx="11">
                  <c:v>Q4 2016</c:v>
                </c:pt>
                <c:pt idx="12">
                  <c:v>Q1 2017</c:v>
                </c:pt>
              </c:strCache>
            </c:strRef>
          </c:cat>
          <c:val>
            <c:numRef>
              <c:f>Sheet1!$E$3:$E$15</c:f>
              <c:numCache>
                <c:formatCode>General</c:formatCode>
                <c:ptCount val="13"/>
                <c:pt idx="0">
                  <c:v>88426</c:v>
                </c:pt>
                <c:pt idx="1">
                  <c:v>72031</c:v>
                </c:pt>
                <c:pt idx="2">
                  <c:v>71442</c:v>
                </c:pt>
                <c:pt idx="3">
                  <c:v>59921</c:v>
                </c:pt>
                <c:pt idx="4">
                  <c:v>84479</c:v>
                </c:pt>
                <c:pt idx="5">
                  <c:v>95244</c:v>
                </c:pt>
                <c:pt idx="6">
                  <c:v>52184</c:v>
                </c:pt>
                <c:pt idx="7">
                  <c:v>24685</c:v>
                </c:pt>
                <c:pt idx="8">
                  <c:v>18446</c:v>
                </c:pt>
                <c:pt idx="9">
                  <c:v>11308</c:v>
                </c:pt>
                <c:pt idx="10">
                  <c:v>14086</c:v>
                </c:pt>
                <c:pt idx="11" formatCode="0;[Red]0">
                  <c:v>19427</c:v>
                </c:pt>
                <c:pt idx="12">
                  <c:v>40629</c:v>
                </c:pt>
              </c:numCache>
            </c:numRef>
          </c:val>
        </c:ser>
        <c:dLbls>
          <c:showLegendKey val="0"/>
          <c:showVal val="0"/>
          <c:showCatName val="0"/>
          <c:showSerName val="0"/>
          <c:showPercent val="0"/>
          <c:showBubbleSize val="0"/>
        </c:dLbls>
        <c:gapWidth val="150"/>
        <c:axId val="556202240"/>
        <c:axId val="556261376"/>
      </c:barChart>
      <c:catAx>
        <c:axId val="556202240"/>
        <c:scaling>
          <c:orientation val="minMax"/>
        </c:scaling>
        <c:delete val="0"/>
        <c:axPos val="b"/>
        <c:majorTickMark val="out"/>
        <c:minorTickMark val="none"/>
        <c:tickLblPos val="nextTo"/>
        <c:crossAx val="556261376"/>
        <c:crosses val="autoZero"/>
        <c:auto val="1"/>
        <c:lblAlgn val="ctr"/>
        <c:lblOffset val="100"/>
        <c:noMultiLvlLbl val="0"/>
      </c:catAx>
      <c:valAx>
        <c:axId val="556261376"/>
        <c:scaling>
          <c:orientation val="minMax"/>
        </c:scaling>
        <c:delete val="0"/>
        <c:axPos val="l"/>
        <c:majorGridlines/>
        <c:numFmt formatCode="General" sourceLinked="1"/>
        <c:majorTickMark val="out"/>
        <c:minorTickMark val="none"/>
        <c:tickLblPos val="nextTo"/>
        <c:crossAx val="556202240"/>
        <c:crosses val="autoZero"/>
        <c:crossBetween val="between"/>
        <c:dispUnits>
          <c:builtInUnit val="thousands"/>
          <c:dispUnitsLbl>
            <c:layout>
              <c:manualLayout>
                <c:xMode val="edge"/>
                <c:yMode val="edge"/>
                <c:x val="2.927478376580173E-2"/>
                <c:y val="0.27362277631962673"/>
              </c:manualLayout>
            </c:layout>
            <c:tx>
              <c:rich>
                <a:bodyPr/>
                <a:lstStyle/>
                <a:p>
                  <a:pPr>
                    <a:defRPr/>
                  </a:pPr>
                  <a:r>
                    <a:rPr lang="en-ZA"/>
                    <a:t>Thousands Tons</a:t>
                  </a:r>
                </a:p>
              </c:rich>
            </c:tx>
          </c:dispUnitsLbl>
        </c:dispUnits>
      </c:valAx>
    </c:plotArea>
    <c:legend>
      <c:legendPos val="b"/>
      <c:overlay val="0"/>
    </c:legend>
    <c:plotVisOnly val="1"/>
    <c:dispBlanksAs val="gap"/>
    <c:showDLblsOverMax val="0"/>
  </c:chart>
  <c:spPr>
    <a:solidFill>
      <a:schemeClr val="accent3">
        <a:lumMod val="20000"/>
        <a:lumOff val="80000"/>
      </a:schemeClr>
    </a:solidFill>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12840429919358"/>
          <c:y val="6.0659813356663747E-2"/>
          <c:w val="0.89854672510406286"/>
          <c:h val="0.61511446485855936"/>
        </c:manualLayout>
      </c:layout>
      <c:lineChart>
        <c:grouping val="standard"/>
        <c:varyColors val="0"/>
        <c:ser>
          <c:idx val="0"/>
          <c:order val="0"/>
          <c:tx>
            <c:strRef>
              <c:f>Sheet1!$A$2:$B$2</c:f>
              <c:strCache>
                <c:ptCount val="1"/>
                <c:pt idx="0">
                  <c:v>Randfontein R/ton</c:v>
                </c:pt>
              </c:strCache>
            </c:strRef>
          </c:tx>
          <c:spPr>
            <a:ln>
              <a:solidFill>
                <a:schemeClr val="accent3">
                  <a:lumMod val="50000"/>
                </a:schemeClr>
              </a:solidFill>
            </a:ln>
          </c:spPr>
          <c:marker>
            <c:symbol val="none"/>
          </c:marker>
          <c:cat>
            <c:strRef>
              <c:f>Sheet1!$C$1:$AE$1</c:f>
              <c:strCache>
                <c:ptCount val="29"/>
                <c:pt idx="0">
                  <c:v>2015M01</c:v>
                </c:pt>
                <c:pt idx="1">
                  <c:v>2015M02</c:v>
                </c:pt>
                <c:pt idx="2">
                  <c:v>2015M03</c:v>
                </c:pt>
                <c:pt idx="3">
                  <c:v>2015M04</c:v>
                </c:pt>
                <c:pt idx="4">
                  <c:v>2015M05</c:v>
                </c:pt>
                <c:pt idx="5">
                  <c:v>2015M06</c:v>
                </c:pt>
                <c:pt idx="6">
                  <c:v>2015M07</c:v>
                </c:pt>
                <c:pt idx="7">
                  <c:v>2015M08</c:v>
                </c:pt>
                <c:pt idx="8">
                  <c:v>2015M09</c:v>
                </c:pt>
                <c:pt idx="9">
                  <c:v>2015M10</c:v>
                </c:pt>
                <c:pt idx="10">
                  <c:v>2015M11</c:v>
                </c:pt>
                <c:pt idx="11">
                  <c:v>2015M12</c:v>
                </c:pt>
                <c:pt idx="12">
                  <c:v>2016M01</c:v>
                </c:pt>
                <c:pt idx="13">
                  <c:v>2016M02</c:v>
                </c:pt>
                <c:pt idx="14">
                  <c:v>2016M03</c:v>
                </c:pt>
                <c:pt idx="15">
                  <c:v>2016M04</c:v>
                </c:pt>
                <c:pt idx="16">
                  <c:v>2016M05</c:v>
                </c:pt>
                <c:pt idx="17">
                  <c:v>2016M06</c:v>
                </c:pt>
                <c:pt idx="18">
                  <c:v>2016M07</c:v>
                </c:pt>
                <c:pt idx="19">
                  <c:v>2016M08</c:v>
                </c:pt>
                <c:pt idx="20">
                  <c:v>2016M09</c:v>
                </c:pt>
                <c:pt idx="21">
                  <c:v>2016M10</c:v>
                </c:pt>
                <c:pt idx="22">
                  <c:v>2016M11</c:v>
                </c:pt>
                <c:pt idx="23">
                  <c:v>2016M12</c:v>
                </c:pt>
                <c:pt idx="24">
                  <c:v>2017M01</c:v>
                </c:pt>
                <c:pt idx="25">
                  <c:v>2017M02</c:v>
                </c:pt>
                <c:pt idx="26">
                  <c:v>2017M03</c:v>
                </c:pt>
                <c:pt idx="27">
                  <c:v>2017M04</c:v>
                </c:pt>
                <c:pt idx="28">
                  <c:v>2017M05</c:v>
                </c:pt>
              </c:strCache>
            </c:strRef>
          </c:cat>
          <c:val>
            <c:numRef>
              <c:f>Sheet1!$C$2:$AE$2</c:f>
              <c:numCache>
                <c:formatCode>General</c:formatCode>
                <c:ptCount val="29"/>
                <c:pt idx="0">
                  <c:v>5661.1904761904798</c:v>
                </c:pt>
                <c:pt idx="1">
                  <c:v>5265.1</c:v>
                </c:pt>
                <c:pt idx="2">
                  <c:v>4998.0909090909099</c:v>
                </c:pt>
                <c:pt idx="3">
                  <c:v>4710.21052631579</c:v>
                </c:pt>
                <c:pt idx="4">
                  <c:v>4665.5</c:v>
                </c:pt>
                <c:pt idx="5">
                  <c:v>4817.333333333333</c:v>
                </c:pt>
                <c:pt idx="6">
                  <c:v>4887.695652173913</c:v>
                </c:pt>
                <c:pt idx="7">
                  <c:v>5067.8999999999996</c:v>
                </c:pt>
                <c:pt idx="8">
                  <c:v>5378.1904761904761</c:v>
                </c:pt>
                <c:pt idx="9">
                  <c:v>5530.181818181818</c:v>
                </c:pt>
                <c:pt idx="10">
                  <c:v>5786.2857142857147</c:v>
                </c:pt>
                <c:pt idx="11">
                  <c:v>6430.4761904761908</c:v>
                </c:pt>
                <c:pt idx="12">
                  <c:v>7040.5</c:v>
                </c:pt>
                <c:pt idx="13">
                  <c:v>6337.3442622950815</c:v>
                </c:pt>
                <c:pt idx="14">
                  <c:v>6255.05</c:v>
                </c:pt>
                <c:pt idx="15">
                  <c:v>6005.15</c:v>
                </c:pt>
                <c:pt idx="16">
                  <c:v>6962.4285714285716</c:v>
                </c:pt>
                <c:pt idx="17">
                  <c:v>7721.5238095238092</c:v>
                </c:pt>
                <c:pt idx="18">
                  <c:v>7224.1428571428569</c:v>
                </c:pt>
                <c:pt idx="19">
                  <c:v>6441.1053964510002</c:v>
                </c:pt>
                <c:pt idx="20">
                  <c:v>6432.427127204227</c:v>
                </c:pt>
                <c:pt idx="21">
                  <c:v>6424.7009968863813</c:v>
                </c:pt>
                <c:pt idx="22">
                  <c:v>6402.665904826863</c:v>
                </c:pt>
                <c:pt idx="23">
                  <c:v>6520.9473684210525</c:v>
                </c:pt>
                <c:pt idx="24">
                  <c:v>6413.203125</c:v>
                </c:pt>
                <c:pt idx="25" formatCode="0">
                  <c:v>6242.4246344959001</c:v>
                </c:pt>
                <c:pt idx="26" formatCode="0">
                  <c:v>5297.7211987643177</c:v>
                </c:pt>
                <c:pt idx="27" formatCode="0">
                  <c:v>4813.5829601517644</c:v>
                </c:pt>
                <c:pt idx="28" formatCode="0">
                  <c:v>5632.2061993020916</c:v>
                </c:pt>
              </c:numCache>
            </c:numRef>
          </c:val>
          <c:smooth val="0"/>
        </c:ser>
        <c:ser>
          <c:idx val="1"/>
          <c:order val="1"/>
          <c:tx>
            <c:strRef>
              <c:f>Sheet1!$A$3:$B$3</c:f>
              <c:strCache>
                <c:ptCount val="1"/>
                <c:pt idx="0">
                  <c:v>Import Price Randfontein</c:v>
                </c:pt>
              </c:strCache>
            </c:strRef>
          </c:tx>
          <c:spPr>
            <a:ln>
              <a:solidFill>
                <a:schemeClr val="accent6">
                  <a:lumMod val="75000"/>
                </a:schemeClr>
              </a:solidFill>
            </a:ln>
          </c:spPr>
          <c:marker>
            <c:symbol val="none"/>
          </c:marker>
          <c:cat>
            <c:strRef>
              <c:f>Sheet1!$C$1:$AE$1</c:f>
              <c:strCache>
                <c:ptCount val="29"/>
                <c:pt idx="0">
                  <c:v>2015M01</c:v>
                </c:pt>
                <c:pt idx="1">
                  <c:v>2015M02</c:v>
                </c:pt>
                <c:pt idx="2">
                  <c:v>2015M03</c:v>
                </c:pt>
                <c:pt idx="3">
                  <c:v>2015M04</c:v>
                </c:pt>
                <c:pt idx="4">
                  <c:v>2015M05</c:v>
                </c:pt>
                <c:pt idx="5">
                  <c:v>2015M06</c:v>
                </c:pt>
                <c:pt idx="6">
                  <c:v>2015M07</c:v>
                </c:pt>
                <c:pt idx="7">
                  <c:v>2015M08</c:v>
                </c:pt>
                <c:pt idx="8">
                  <c:v>2015M09</c:v>
                </c:pt>
                <c:pt idx="9">
                  <c:v>2015M10</c:v>
                </c:pt>
                <c:pt idx="10">
                  <c:v>2015M11</c:v>
                </c:pt>
                <c:pt idx="11">
                  <c:v>2015M12</c:v>
                </c:pt>
                <c:pt idx="12">
                  <c:v>2016M01</c:v>
                </c:pt>
                <c:pt idx="13">
                  <c:v>2016M02</c:v>
                </c:pt>
                <c:pt idx="14">
                  <c:v>2016M03</c:v>
                </c:pt>
                <c:pt idx="15">
                  <c:v>2016M04</c:v>
                </c:pt>
                <c:pt idx="16">
                  <c:v>2016M05</c:v>
                </c:pt>
                <c:pt idx="17">
                  <c:v>2016M06</c:v>
                </c:pt>
                <c:pt idx="18">
                  <c:v>2016M07</c:v>
                </c:pt>
                <c:pt idx="19">
                  <c:v>2016M08</c:v>
                </c:pt>
                <c:pt idx="20">
                  <c:v>2016M09</c:v>
                </c:pt>
                <c:pt idx="21">
                  <c:v>2016M10</c:v>
                </c:pt>
                <c:pt idx="22">
                  <c:v>2016M11</c:v>
                </c:pt>
                <c:pt idx="23">
                  <c:v>2016M12</c:v>
                </c:pt>
                <c:pt idx="24">
                  <c:v>2017M01</c:v>
                </c:pt>
                <c:pt idx="25">
                  <c:v>2017M02</c:v>
                </c:pt>
                <c:pt idx="26">
                  <c:v>2017M03</c:v>
                </c:pt>
                <c:pt idx="27">
                  <c:v>2017M04</c:v>
                </c:pt>
                <c:pt idx="28">
                  <c:v>2017M05</c:v>
                </c:pt>
              </c:strCache>
            </c:strRef>
          </c:cat>
          <c:val>
            <c:numRef>
              <c:f>Sheet1!$C$3:$AE$3</c:f>
              <c:numCache>
                <c:formatCode>General</c:formatCode>
                <c:ptCount val="29"/>
                <c:pt idx="0">
                  <c:v>6499.8093431719935</c:v>
                </c:pt>
                <c:pt idx="1">
                  <c:v>6345.1851792260277</c:v>
                </c:pt>
                <c:pt idx="2">
                  <c:v>6098.0716278194895</c:v>
                </c:pt>
                <c:pt idx="3">
                  <c:v>5652.8691878823365</c:v>
                </c:pt>
                <c:pt idx="4">
                  <c:v>4909.6763184635611</c:v>
                </c:pt>
                <c:pt idx="5">
                  <c:v>5736.6054332438343</c:v>
                </c:pt>
                <c:pt idx="6">
                  <c:v>6021.0194557135801</c:v>
                </c:pt>
                <c:pt idx="7">
                  <c:v>6066.4527883079445</c:v>
                </c:pt>
                <c:pt idx="8">
                  <c:v>6210.3022959420732</c:v>
                </c:pt>
                <c:pt idx="9">
                  <c:v>6196.1040686870492</c:v>
                </c:pt>
                <c:pt idx="10">
                  <c:v>6288.0627241660795</c:v>
                </c:pt>
                <c:pt idx="11">
                  <c:v>6611.2895319020427</c:v>
                </c:pt>
                <c:pt idx="12">
                  <c:v>6956.6500032684926</c:v>
                </c:pt>
                <c:pt idx="13">
                  <c:v>6476.2225401219184</c:v>
                </c:pt>
                <c:pt idx="14">
                  <c:v>6457.7311240791778</c:v>
                </c:pt>
                <c:pt idx="15">
                  <c:v>6434.6968042027402</c:v>
                </c:pt>
                <c:pt idx="16">
                  <c:v>7435.8437671667116</c:v>
                </c:pt>
                <c:pt idx="17">
                  <c:v>8156.3068999428842</c:v>
                </c:pt>
                <c:pt idx="18">
                  <c:v>7464.6147940854471</c:v>
                </c:pt>
                <c:pt idx="19">
                  <c:v>6828.6992011516986</c:v>
                </c:pt>
                <c:pt idx="20">
                  <c:v>6785.559224278044</c:v>
                </c:pt>
                <c:pt idx="21">
                  <c:v>5811.3418848089805</c:v>
                </c:pt>
                <c:pt idx="22">
                  <c:v>6564.5353116407641</c:v>
                </c:pt>
                <c:pt idx="23">
                  <c:v>6557.0940829506235</c:v>
                </c:pt>
                <c:pt idx="24">
                  <c:v>6494.5543542322503</c:v>
                </c:pt>
                <c:pt idx="25" formatCode="0">
                  <c:v>6469.3947327352234</c:v>
                </c:pt>
                <c:pt idx="26">
                  <c:v>6027.6523484518229</c:v>
                </c:pt>
                <c:pt idx="27">
                  <c:v>5933.3882326882504</c:v>
                </c:pt>
                <c:pt idx="28">
                  <c:v>5632.2061993020916</c:v>
                </c:pt>
              </c:numCache>
            </c:numRef>
          </c:val>
          <c:smooth val="0"/>
        </c:ser>
        <c:ser>
          <c:idx val="2"/>
          <c:order val="2"/>
          <c:tx>
            <c:strRef>
              <c:f>Sheet1!$A$4:$B$4</c:f>
              <c:strCache>
                <c:ptCount val="1"/>
                <c:pt idx="0">
                  <c:v>Export Price Randfontein</c:v>
                </c:pt>
              </c:strCache>
            </c:strRef>
          </c:tx>
          <c:marker>
            <c:symbol val="none"/>
          </c:marker>
          <c:cat>
            <c:strRef>
              <c:f>Sheet1!$C$1:$AE$1</c:f>
              <c:strCache>
                <c:ptCount val="29"/>
                <c:pt idx="0">
                  <c:v>2015M01</c:v>
                </c:pt>
                <c:pt idx="1">
                  <c:v>2015M02</c:v>
                </c:pt>
                <c:pt idx="2">
                  <c:v>2015M03</c:v>
                </c:pt>
                <c:pt idx="3">
                  <c:v>2015M04</c:v>
                </c:pt>
                <c:pt idx="4">
                  <c:v>2015M05</c:v>
                </c:pt>
                <c:pt idx="5">
                  <c:v>2015M06</c:v>
                </c:pt>
                <c:pt idx="6">
                  <c:v>2015M07</c:v>
                </c:pt>
                <c:pt idx="7">
                  <c:v>2015M08</c:v>
                </c:pt>
                <c:pt idx="8">
                  <c:v>2015M09</c:v>
                </c:pt>
                <c:pt idx="9">
                  <c:v>2015M10</c:v>
                </c:pt>
                <c:pt idx="10">
                  <c:v>2015M11</c:v>
                </c:pt>
                <c:pt idx="11">
                  <c:v>2015M12</c:v>
                </c:pt>
                <c:pt idx="12">
                  <c:v>2016M01</c:v>
                </c:pt>
                <c:pt idx="13">
                  <c:v>2016M02</c:v>
                </c:pt>
                <c:pt idx="14">
                  <c:v>2016M03</c:v>
                </c:pt>
                <c:pt idx="15">
                  <c:v>2016M04</c:v>
                </c:pt>
                <c:pt idx="16">
                  <c:v>2016M05</c:v>
                </c:pt>
                <c:pt idx="17">
                  <c:v>2016M06</c:v>
                </c:pt>
                <c:pt idx="18">
                  <c:v>2016M07</c:v>
                </c:pt>
                <c:pt idx="19">
                  <c:v>2016M08</c:v>
                </c:pt>
                <c:pt idx="20">
                  <c:v>2016M09</c:v>
                </c:pt>
                <c:pt idx="21">
                  <c:v>2016M10</c:v>
                </c:pt>
                <c:pt idx="22">
                  <c:v>2016M11</c:v>
                </c:pt>
                <c:pt idx="23">
                  <c:v>2016M12</c:v>
                </c:pt>
                <c:pt idx="24">
                  <c:v>2017M01</c:v>
                </c:pt>
                <c:pt idx="25">
                  <c:v>2017M02</c:v>
                </c:pt>
                <c:pt idx="26">
                  <c:v>2017M03</c:v>
                </c:pt>
                <c:pt idx="27">
                  <c:v>2017M04</c:v>
                </c:pt>
                <c:pt idx="28">
                  <c:v>2017M05</c:v>
                </c:pt>
              </c:strCache>
            </c:strRef>
          </c:cat>
          <c:val>
            <c:numRef>
              <c:f>Sheet1!$C$4:$AE$4</c:f>
              <c:numCache>
                <c:formatCode>General</c:formatCode>
                <c:ptCount val="29"/>
                <c:pt idx="0">
                  <c:v>4598.1920790502281</c:v>
                </c:pt>
                <c:pt idx="1">
                  <c:v>4538.7865207739724</c:v>
                </c:pt>
                <c:pt idx="2">
                  <c:v>4273.5764912714194</c:v>
                </c:pt>
                <c:pt idx="3">
                  <c:v>3844.6351573808215</c:v>
                </c:pt>
                <c:pt idx="4">
                  <c:v>3153.9924495364385</c:v>
                </c:pt>
                <c:pt idx="5">
                  <c:v>3860.6705934228303</c:v>
                </c:pt>
                <c:pt idx="6">
                  <c:v>4061.9145277646821</c:v>
                </c:pt>
                <c:pt idx="7">
                  <c:v>4057.171715692054</c:v>
                </c:pt>
                <c:pt idx="8">
                  <c:v>4182.4818069150679</c:v>
                </c:pt>
                <c:pt idx="9">
                  <c:v>4206.3786231311342</c:v>
                </c:pt>
                <c:pt idx="10">
                  <c:v>4306.5896358339205</c:v>
                </c:pt>
                <c:pt idx="11">
                  <c:v>4609.8419839709713</c:v>
                </c:pt>
                <c:pt idx="12">
                  <c:v>4932.8567567315076</c:v>
                </c:pt>
                <c:pt idx="13">
                  <c:v>4530.6787770209403</c:v>
                </c:pt>
                <c:pt idx="14">
                  <c:v>4500.1953679208218</c:v>
                </c:pt>
                <c:pt idx="15">
                  <c:v>4823.6331557972608</c:v>
                </c:pt>
                <c:pt idx="16">
                  <c:v>5715.6847923380501</c:v>
                </c:pt>
                <c:pt idx="17">
                  <c:v>6385.4061890094981</c:v>
                </c:pt>
                <c:pt idx="18">
                  <c:v>5740.6029655812208</c:v>
                </c:pt>
                <c:pt idx="19">
                  <c:v>5136.9459451911553</c:v>
                </c:pt>
                <c:pt idx="20">
                  <c:v>5091.6271819946815</c:v>
                </c:pt>
                <c:pt idx="21">
                  <c:v>4208.9695075814971</c:v>
                </c:pt>
                <c:pt idx="22">
                  <c:v>4919.1787733683277</c:v>
                </c:pt>
                <c:pt idx="23">
                  <c:v>4913.9982531125343</c:v>
                </c:pt>
                <c:pt idx="24">
                  <c:v>4862.2797023391777</c:v>
                </c:pt>
                <c:pt idx="25">
                  <c:v>4785.1742553747763</c:v>
                </c:pt>
                <c:pt idx="26">
                  <c:v>4389.9075016481793</c:v>
                </c:pt>
                <c:pt idx="27">
                  <c:v>4292.0782357823355</c:v>
                </c:pt>
                <c:pt idx="28">
                  <c:v>4329.99323942518</c:v>
                </c:pt>
              </c:numCache>
            </c:numRef>
          </c:val>
          <c:smooth val="0"/>
        </c:ser>
        <c:dLbls>
          <c:showLegendKey val="0"/>
          <c:showVal val="0"/>
          <c:showCatName val="0"/>
          <c:showSerName val="0"/>
          <c:showPercent val="0"/>
          <c:showBubbleSize val="0"/>
        </c:dLbls>
        <c:marker val="1"/>
        <c:smooth val="0"/>
        <c:axId val="556386944"/>
        <c:axId val="557011328"/>
      </c:lineChart>
      <c:catAx>
        <c:axId val="556386944"/>
        <c:scaling>
          <c:orientation val="minMax"/>
        </c:scaling>
        <c:delete val="0"/>
        <c:axPos val="b"/>
        <c:majorTickMark val="out"/>
        <c:minorTickMark val="none"/>
        <c:tickLblPos val="nextTo"/>
        <c:crossAx val="557011328"/>
        <c:crosses val="autoZero"/>
        <c:auto val="1"/>
        <c:lblAlgn val="ctr"/>
        <c:lblOffset val="100"/>
        <c:noMultiLvlLbl val="0"/>
      </c:catAx>
      <c:valAx>
        <c:axId val="557011328"/>
        <c:scaling>
          <c:orientation val="minMax"/>
          <c:min val="3000"/>
        </c:scaling>
        <c:delete val="0"/>
        <c:axPos val="l"/>
        <c:majorGridlines>
          <c:spPr>
            <a:ln>
              <a:solidFill>
                <a:schemeClr val="tx1"/>
              </a:solidFill>
              <a:prstDash val="sysDash"/>
            </a:ln>
          </c:spPr>
        </c:majorGridlines>
        <c:title>
          <c:tx>
            <c:rich>
              <a:bodyPr rot="-5400000" vert="horz"/>
              <a:lstStyle/>
              <a:p>
                <a:pPr>
                  <a:defRPr b="0"/>
                </a:pPr>
                <a:r>
                  <a:rPr lang="en-US" b="0"/>
                  <a:t>R/Ton</a:t>
                </a:r>
              </a:p>
            </c:rich>
          </c:tx>
          <c:layout>
            <c:manualLayout>
              <c:xMode val="edge"/>
              <c:yMode val="edge"/>
              <c:x val="0"/>
              <c:y val="0.29503390201224849"/>
            </c:manualLayout>
          </c:layout>
          <c:overlay val="0"/>
        </c:title>
        <c:numFmt formatCode="General" sourceLinked="1"/>
        <c:majorTickMark val="out"/>
        <c:minorTickMark val="none"/>
        <c:tickLblPos val="nextTo"/>
        <c:crossAx val="556386944"/>
        <c:crosses val="autoZero"/>
        <c:crossBetween val="between"/>
      </c:valAx>
    </c:plotArea>
    <c:legend>
      <c:legendPos val="r"/>
      <c:layout>
        <c:manualLayout>
          <c:xMode val="edge"/>
          <c:yMode val="edge"/>
          <c:x val="0"/>
          <c:y val="0.86497302420530764"/>
          <c:w val="0.99893153980752403"/>
          <c:h val="0.13502697579469233"/>
        </c:manualLayout>
      </c:layout>
      <c:overlay val="0"/>
    </c:legend>
    <c:plotVisOnly val="1"/>
    <c:dispBlanksAs val="gap"/>
    <c:showDLblsOverMax val="0"/>
  </c:chart>
  <c:spPr>
    <a:solidFill>
      <a:schemeClr val="accent3">
        <a:lumMod val="20000"/>
        <a:lumOff val="80000"/>
      </a:schemeClr>
    </a:solidFill>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689202837114534E-2"/>
          <c:y val="0.10338931906419768"/>
          <c:w val="0.81396762904636766"/>
          <c:h val="0.5559299358413532"/>
        </c:manualLayout>
      </c:layout>
      <c:lineChart>
        <c:grouping val="standard"/>
        <c:varyColors val="0"/>
        <c:ser>
          <c:idx val="3"/>
          <c:order val="1"/>
          <c:tx>
            <c:strRef>
              <c:f>Sheet2!$A$26</c:f>
              <c:strCache>
                <c:ptCount val="1"/>
                <c:pt idx="0">
                  <c:v>Sunflower seed Price</c:v>
                </c:pt>
              </c:strCache>
            </c:strRef>
          </c:tx>
          <c:spPr>
            <a:ln>
              <a:solidFill>
                <a:schemeClr val="tx2">
                  <a:lumMod val="50000"/>
                </a:schemeClr>
              </a:solidFill>
            </a:ln>
          </c:spPr>
          <c:marker>
            <c:symbol val="none"/>
          </c:marker>
          <c:cat>
            <c:strRef>
              <c:f>Sheet2!$T$22:$AN$22</c:f>
              <c:strCache>
                <c:ptCount val="21"/>
                <c:pt idx="0">
                  <c:v>2015M07</c:v>
                </c:pt>
                <c:pt idx="1">
                  <c:v>2015M08</c:v>
                </c:pt>
                <c:pt idx="2">
                  <c:v>2015M09</c:v>
                </c:pt>
                <c:pt idx="3">
                  <c:v>2015M10</c:v>
                </c:pt>
                <c:pt idx="4">
                  <c:v>2015M11</c:v>
                </c:pt>
                <c:pt idx="5">
                  <c:v>2015M12</c:v>
                </c:pt>
                <c:pt idx="6">
                  <c:v>2016M01</c:v>
                </c:pt>
                <c:pt idx="7">
                  <c:v>2016M02</c:v>
                </c:pt>
                <c:pt idx="8">
                  <c:v>2016M03</c:v>
                </c:pt>
                <c:pt idx="9">
                  <c:v>2016M04</c:v>
                </c:pt>
                <c:pt idx="10">
                  <c:v>2016M05</c:v>
                </c:pt>
                <c:pt idx="11">
                  <c:v>2016M06</c:v>
                </c:pt>
                <c:pt idx="12">
                  <c:v>2016M07</c:v>
                </c:pt>
                <c:pt idx="13">
                  <c:v>2016M08</c:v>
                </c:pt>
                <c:pt idx="14">
                  <c:v>2016M09</c:v>
                </c:pt>
                <c:pt idx="15">
                  <c:v>2016M10</c:v>
                </c:pt>
                <c:pt idx="16">
                  <c:v>2016M11</c:v>
                </c:pt>
                <c:pt idx="17">
                  <c:v>2016M12</c:v>
                </c:pt>
                <c:pt idx="18">
                  <c:v>2017M01</c:v>
                </c:pt>
                <c:pt idx="19">
                  <c:v>2017M02</c:v>
                </c:pt>
                <c:pt idx="20">
                  <c:v>2017M03</c:v>
                </c:pt>
              </c:strCache>
            </c:strRef>
          </c:cat>
          <c:val>
            <c:numRef>
              <c:f>Sheet2!$T$26:$AN$26</c:f>
              <c:numCache>
                <c:formatCode>0</c:formatCode>
                <c:ptCount val="21"/>
                <c:pt idx="0">
                  <c:v>5467.913043478261</c:v>
                </c:pt>
                <c:pt idx="1">
                  <c:v>5673.1</c:v>
                </c:pt>
                <c:pt idx="2">
                  <c:v>6052.3333333333285</c:v>
                </c:pt>
                <c:pt idx="3">
                  <c:v>6569.5909090909136</c:v>
                </c:pt>
                <c:pt idx="4">
                  <c:v>6739.8095238095293</c:v>
                </c:pt>
                <c:pt idx="5">
                  <c:v>6979.4285714285734</c:v>
                </c:pt>
                <c:pt idx="6">
                  <c:v>7373.05</c:v>
                </c:pt>
                <c:pt idx="7">
                  <c:v>7265.4590163934427</c:v>
                </c:pt>
                <c:pt idx="8">
                  <c:v>7482.6500000000024</c:v>
                </c:pt>
                <c:pt idx="9">
                  <c:v>6497.25</c:v>
                </c:pt>
                <c:pt idx="10">
                  <c:v>6514.2380952380854</c:v>
                </c:pt>
                <c:pt idx="11">
                  <c:v>6495.8095238095293</c:v>
                </c:pt>
                <c:pt idx="12" formatCode="General">
                  <c:v>6091.1419913419522</c:v>
                </c:pt>
                <c:pt idx="13" formatCode="General">
                  <c:v>5884.0614723081426</c:v>
                </c:pt>
                <c:pt idx="14">
                  <c:v>6257.0064935064556</c:v>
                </c:pt>
                <c:pt idx="15" formatCode="General">
                  <c:v>6271</c:v>
                </c:pt>
                <c:pt idx="16" formatCode="General">
                  <c:v>5991.9</c:v>
                </c:pt>
                <c:pt idx="17" formatCode="General">
                  <c:v>5857</c:v>
                </c:pt>
                <c:pt idx="18" formatCode="General">
                  <c:v>5431.7142857142835</c:v>
                </c:pt>
                <c:pt idx="19" formatCode="General">
                  <c:v>5002.6500000000024</c:v>
                </c:pt>
                <c:pt idx="20" formatCode="General">
                  <c:v>4458.272727272727</c:v>
                </c:pt>
              </c:numCache>
            </c:numRef>
          </c:val>
          <c:smooth val="0"/>
        </c:ser>
        <c:ser>
          <c:idx val="4"/>
          <c:order val="2"/>
          <c:tx>
            <c:strRef>
              <c:f>Sheet2!$A$27</c:f>
              <c:strCache>
                <c:ptCount val="1"/>
                <c:pt idx="0">
                  <c:v>Sunflower Import Price(Randfontein)</c:v>
                </c:pt>
              </c:strCache>
            </c:strRef>
          </c:tx>
          <c:spPr>
            <a:ln>
              <a:solidFill>
                <a:schemeClr val="accent3">
                  <a:lumMod val="50000"/>
                </a:schemeClr>
              </a:solidFill>
            </a:ln>
          </c:spPr>
          <c:marker>
            <c:symbol val="none"/>
          </c:marker>
          <c:cat>
            <c:strRef>
              <c:f>Sheet2!$T$22:$AN$22</c:f>
              <c:strCache>
                <c:ptCount val="21"/>
                <c:pt idx="0">
                  <c:v>2015M07</c:v>
                </c:pt>
                <c:pt idx="1">
                  <c:v>2015M08</c:v>
                </c:pt>
                <c:pt idx="2">
                  <c:v>2015M09</c:v>
                </c:pt>
                <c:pt idx="3">
                  <c:v>2015M10</c:v>
                </c:pt>
                <c:pt idx="4">
                  <c:v>2015M11</c:v>
                </c:pt>
                <c:pt idx="5">
                  <c:v>2015M12</c:v>
                </c:pt>
                <c:pt idx="6">
                  <c:v>2016M01</c:v>
                </c:pt>
                <c:pt idx="7">
                  <c:v>2016M02</c:v>
                </c:pt>
                <c:pt idx="8">
                  <c:v>2016M03</c:v>
                </c:pt>
                <c:pt idx="9">
                  <c:v>2016M04</c:v>
                </c:pt>
                <c:pt idx="10">
                  <c:v>2016M05</c:v>
                </c:pt>
                <c:pt idx="11">
                  <c:v>2016M06</c:v>
                </c:pt>
                <c:pt idx="12">
                  <c:v>2016M07</c:v>
                </c:pt>
                <c:pt idx="13">
                  <c:v>2016M08</c:v>
                </c:pt>
                <c:pt idx="14">
                  <c:v>2016M09</c:v>
                </c:pt>
                <c:pt idx="15">
                  <c:v>2016M10</c:v>
                </c:pt>
                <c:pt idx="16">
                  <c:v>2016M11</c:v>
                </c:pt>
                <c:pt idx="17">
                  <c:v>2016M12</c:v>
                </c:pt>
                <c:pt idx="18">
                  <c:v>2017M01</c:v>
                </c:pt>
                <c:pt idx="19">
                  <c:v>2017M02</c:v>
                </c:pt>
                <c:pt idx="20">
                  <c:v>2017M03</c:v>
                </c:pt>
              </c:strCache>
            </c:strRef>
          </c:cat>
          <c:val>
            <c:numRef>
              <c:f>Sheet2!$T$27:$AN$27</c:f>
              <c:numCache>
                <c:formatCode>General</c:formatCode>
                <c:ptCount val="21"/>
                <c:pt idx="0">
                  <c:v>6072.0493901813743</c:v>
                </c:pt>
                <c:pt idx="1">
                  <c:v>5967.5247163266295</c:v>
                </c:pt>
                <c:pt idx="2">
                  <c:v>6074.5947193592319</c:v>
                </c:pt>
                <c:pt idx="3">
                  <c:v>6133.837397072044</c:v>
                </c:pt>
                <c:pt idx="4">
                  <c:v>6283.6807301917024</c:v>
                </c:pt>
                <c:pt idx="5">
                  <c:v>6679.7332216382038</c:v>
                </c:pt>
                <c:pt idx="6">
                  <c:v>6804.4315737867128</c:v>
                </c:pt>
                <c:pt idx="7">
                  <c:v>6610.5017491352255</c:v>
                </c:pt>
                <c:pt idx="8">
                  <c:v>6574.494217649828</c:v>
                </c:pt>
                <c:pt idx="9">
                  <c:v>6516.523679934452</c:v>
                </c:pt>
                <c:pt idx="10">
                  <c:v>7275.9567009385128</c:v>
                </c:pt>
                <c:pt idx="11">
                  <c:v>7672.6174528469473</c:v>
                </c:pt>
                <c:pt idx="12">
                  <c:v>7029.8207057948894</c:v>
                </c:pt>
                <c:pt idx="13">
                  <c:v>6068.0547047619093</c:v>
                </c:pt>
                <c:pt idx="14">
                  <c:v>6218.158218181823</c:v>
                </c:pt>
                <c:pt idx="15">
                  <c:v>6275.0906333333342</c:v>
                </c:pt>
                <c:pt idx="16">
                  <c:v>6409.2604000000001</c:v>
                </c:pt>
                <c:pt idx="17">
                  <c:v>6339.0640000000003</c:v>
                </c:pt>
                <c:pt idx="18">
                  <c:v>5946.0357126575345</c:v>
                </c:pt>
                <c:pt idx="19">
                  <c:v>6039.5340621164378</c:v>
                </c:pt>
                <c:pt idx="20">
                  <c:v>6124.103801467716</c:v>
                </c:pt>
              </c:numCache>
            </c:numRef>
          </c:val>
          <c:smooth val="0"/>
        </c:ser>
        <c:dLbls>
          <c:showLegendKey val="0"/>
          <c:showVal val="0"/>
          <c:showCatName val="0"/>
          <c:showSerName val="0"/>
          <c:showPercent val="0"/>
          <c:showBubbleSize val="0"/>
        </c:dLbls>
        <c:marker val="1"/>
        <c:smooth val="0"/>
        <c:axId val="557310336"/>
        <c:axId val="557311872"/>
      </c:lineChart>
      <c:lineChart>
        <c:grouping val="standard"/>
        <c:varyColors val="0"/>
        <c:ser>
          <c:idx val="1"/>
          <c:order val="0"/>
          <c:tx>
            <c:strRef>
              <c:f>Sheet2!$A$24</c:f>
              <c:strCache>
                <c:ptCount val="1"/>
                <c:pt idx="0">
                  <c:v>Sunflower Oil 750 ml</c:v>
                </c:pt>
              </c:strCache>
            </c:strRef>
          </c:tx>
          <c:spPr>
            <a:ln>
              <a:solidFill>
                <a:schemeClr val="accent6">
                  <a:lumMod val="75000"/>
                </a:schemeClr>
              </a:solidFill>
            </a:ln>
          </c:spPr>
          <c:marker>
            <c:symbol val="none"/>
          </c:marker>
          <c:cat>
            <c:strRef>
              <c:f>Sheet2!$T$22:$AN$22</c:f>
              <c:strCache>
                <c:ptCount val="21"/>
                <c:pt idx="0">
                  <c:v>2015M07</c:v>
                </c:pt>
                <c:pt idx="1">
                  <c:v>2015M08</c:v>
                </c:pt>
                <c:pt idx="2">
                  <c:v>2015M09</c:v>
                </c:pt>
                <c:pt idx="3">
                  <c:v>2015M10</c:v>
                </c:pt>
                <c:pt idx="4">
                  <c:v>2015M11</c:v>
                </c:pt>
                <c:pt idx="5">
                  <c:v>2015M12</c:v>
                </c:pt>
                <c:pt idx="6">
                  <c:v>2016M01</c:v>
                </c:pt>
                <c:pt idx="7">
                  <c:v>2016M02</c:v>
                </c:pt>
                <c:pt idx="8">
                  <c:v>2016M03</c:v>
                </c:pt>
                <c:pt idx="9">
                  <c:v>2016M04</c:v>
                </c:pt>
                <c:pt idx="10">
                  <c:v>2016M05</c:v>
                </c:pt>
                <c:pt idx="11">
                  <c:v>2016M06</c:v>
                </c:pt>
                <c:pt idx="12">
                  <c:v>2016M07</c:v>
                </c:pt>
                <c:pt idx="13">
                  <c:v>2016M08</c:v>
                </c:pt>
                <c:pt idx="14">
                  <c:v>2016M09</c:v>
                </c:pt>
                <c:pt idx="15">
                  <c:v>2016M10</c:v>
                </c:pt>
                <c:pt idx="16">
                  <c:v>2016M11</c:v>
                </c:pt>
                <c:pt idx="17">
                  <c:v>2016M12</c:v>
                </c:pt>
                <c:pt idx="18">
                  <c:v>2017M01</c:v>
                </c:pt>
                <c:pt idx="19">
                  <c:v>2017M02</c:v>
                </c:pt>
                <c:pt idx="20">
                  <c:v>2017M03</c:v>
                </c:pt>
              </c:strCache>
            </c:strRef>
          </c:cat>
          <c:val>
            <c:numRef>
              <c:f>Sheet2!$T$24:$AN$24</c:f>
              <c:numCache>
                <c:formatCode>0</c:formatCode>
                <c:ptCount val="21"/>
                <c:pt idx="0">
                  <c:v>17.959999999999987</c:v>
                </c:pt>
                <c:pt idx="1">
                  <c:v>18.489999999999974</c:v>
                </c:pt>
                <c:pt idx="2">
                  <c:v>18.36</c:v>
                </c:pt>
                <c:pt idx="3">
                  <c:v>19.279999999999987</c:v>
                </c:pt>
                <c:pt idx="4">
                  <c:v>20.23</c:v>
                </c:pt>
                <c:pt idx="5">
                  <c:v>20.759999999999987</c:v>
                </c:pt>
                <c:pt idx="6">
                  <c:v>21.49</c:v>
                </c:pt>
                <c:pt idx="7">
                  <c:v>22.03</c:v>
                </c:pt>
                <c:pt idx="8">
                  <c:v>22.130000000000017</c:v>
                </c:pt>
                <c:pt idx="9">
                  <c:v>22.459999999999987</c:v>
                </c:pt>
                <c:pt idx="10">
                  <c:v>22.66</c:v>
                </c:pt>
                <c:pt idx="11">
                  <c:v>22.91</c:v>
                </c:pt>
                <c:pt idx="12" formatCode="0.00">
                  <c:v>23</c:v>
                </c:pt>
                <c:pt idx="13" formatCode="0.00">
                  <c:v>22.82</c:v>
                </c:pt>
                <c:pt idx="14" formatCode="0.00">
                  <c:v>22.57</c:v>
                </c:pt>
                <c:pt idx="15" formatCode="0.00">
                  <c:v>22.59</c:v>
                </c:pt>
                <c:pt idx="16" formatCode="0.00">
                  <c:v>22.630000000000017</c:v>
                </c:pt>
                <c:pt idx="17" formatCode="0.00">
                  <c:v>22.51</c:v>
                </c:pt>
                <c:pt idx="18" formatCode="General">
                  <c:v>22.479999999999986</c:v>
                </c:pt>
                <c:pt idx="19" formatCode="General">
                  <c:v>22.58</c:v>
                </c:pt>
                <c:pt idx="20" formatCode="General">
                  <c:v>22.5</c:v>
                </c:pt>
              </c:numCache>
            </c:numRef>
          </c:val>
          <c:smooth val="0"/>
        </c:ser>
        <c:ser>
          <c:idx val="0"/>
          <c:order val="3"/>
          <c:tx>
            <c:strRef>
              <c:f>Sheet2!$A$23</c:f>
              <c:strCache>
                <c:ptCount val="1"/>
                <c:pt idx="0">
                  <c:v>Sunflower Oil 2 L</c:v>
                </c:pt>
              </c:strCache>
            </c:strRef>
          </c:tx>
          <c:spPr>
            <a:ln>
              <a:solidFill>
                <a:schemeClr val="accent1"/>
              </a:solidFill>
            </a:ln>
          </c:spPr>
          <c:marker>
            <c:symbol val="none"/>
          </c:marker>
          <c:cat>
            <c:strRef>
              <c:f>Sheet2!$T$22:$AN$22</c:f>
              <c:strCache>
                <c:ptCount val="21"/>
                <c:pt idx="0">
                  <c:v>2015M07</c:v>
                </c:pt>
                <c:pt idx="1">
                  <c:v>2015M08</c:v>
                </c:pt>
                <c:pt idx="2">
                  <c:v>2015M09</c:v>
                </c:pt>
                <c:pt idx="3">
                  <c:v>2015M10</c:v>
                </c:pt>
                <c:pt idx="4">
                  <c:v>2015M11</c:v>
                </c:pt>
                <c:pt idx="5">
                  <c:v>2015M12</c:v>
                </c:pt>
                <c:pt idx="6">
                  <c:v>2016M01</c:v>
                </c:pt>
                <c:pt idx="7">
                  <c:v>2016M02</c:v>
                </c:pt>
                <c:pt idx="8">
                  <c:v>2016M03</c:v>
                </c:pt>
                <c:pt idx="9">
                  <c:v>2016M04</c:v>
                </c:pt>
                <c:pt idx="10">
                  <c:v>2016M05</c:v>
                </c:pt>
                <c:pt idx="11">
                  <c:v>2016M06</c:v>
                </c:pt>
                <c:pt idx="12">
                  <c:v>2016M07</c:v>
                </c:pt>
                <c:pt idx="13">
                  <c:v>2016M08</c:v>
                </c:pt>
                <c:pt idx="14">
                  <c:v>2016M09</c:v>
                </c:pt>
                <c:pt idx="15">
                  <c:v>2016M10</c:v>
                </c:pt>
                <c:pt idx="16">
                  <c:v>2016M11</c:v>
                </c:pt>
                <c:pt idx="17">
                  <c:v>2016M12</c:v>
                </c:pt>
                <c:pt idx="18">
                  <c:v>2017M01</c:v>
                </c:pt>
                <c:pt idx="19">
                  <c:v>2017M02</c:v>
                </c:pt>
                <c:pt idx="20">
                  <c:v>2017M03</c:v>
                </c:pt>
              </c:strCache>
            </c:strRef>
          </c:cat>
          <c:val>
            <c:numRef>
              <c:f>Sheet2!$T$23:$AN$23</c:f>
              <c:numCache>
                <c:formatCode>0</c:formatCode>
                <c:ptCount val="21"/>
                <c:pt idx="0">
                  <c:v>33.879999999999995</c:v>
                </c:pt>
                <c:pt idx="1">
                  <c:v>34.94</c:v>
                </c:pt>
                <c:pt idx="2">
                  <c:v>35.99</c:v>
                </c:pt>
                <c:pt idx="3">
                  <c:v>36.65</c:v>
                </c:pt>
                <c:pt idx="4">
                  <c:v>37.89</c:v>
                </c:pt>
                <c:pt idx="5">
                  <c:v>39.120000000000012</c:v>
                </c:pt>
                <c:pt idx="6">
                  <c:v>44.27</c:v>
                </c:pt>
                <c:pt idx="7">
                  <c:v>45.24</c:v>
                </c:pt>
                <c:pt idx="8">
                  <c:v>47.17</c:v>
                </c:pt>
                <c:pt idx="9">
                  <c:v>47.59</c:v>
                </c:pt>
                <c:pt idx="10">
                  <c:v>47.13</c:v>
                </c:pt>
                <c:pt idx="11">
                  <c:v>46.190000000000012</c:v>
                </c:pt>
                <c:pt idx="12" formatCode="0.00">
                  <c:v>46.99</c:v>
                </c:pt>
                <c:pt idx="13" formatCode="0.00">
                  <c:v>47.07</c:v>
                </c:pt>
                <c:pt idx="14" formatCode="0.00">
                  <c:v>45.349999999999994</c:v>
                </c:pt>
                <c:pt idx="15" formatCode="0.00">
                  <c:v>44.8</c:v>
                </c:pt>
                <c:pt idx="16" formatCode="0.00">
                  <c:v>44.21</c:v>
                </c:pt>
                <c:pt idx="17" formatCode="0.00">
                  <c:v>44.290000000000013</c:v>
                </c:pt>
                <c:pt idx="18" formatCode="General">
                  <c:v>46.41</c:v>
                </c:pt>
                <c:pt idx="19" formatCode="General">
                  <c:v>45.730000000000011</c:v>
                </c:pt>
                <c:pt idx="20" formatCode="General">
                  <c:v>44.51</c:v>
                </c:pt>
              </c:numCache>
            </c:numRef>
          </c:val>
          <c:smooth val="0"/>
        </c:ser>
        <c:dLbls>
          <c:showLegendKey val="0"/>
          <c:showVal val="0"/>
          <c:showCatName val="0"/>
          <c:showSerName val="0"/>
          <c:showPercent val="0"/>
          <c:showBubbleSize val="0"/>
        </c:dLbls>
        <c:marker val="1"/>
        <c:smooth val="0"/>
        <c:axId val="557320064"/>
        <c:axId val="557318144"/>
      </c:lineChart>
      <c:catAx>
        <c:axId val="557310336"/>
        <c:scaling>
          <c:orientation val="minMax"/>
        </c:scaling>
        <c:delete val="0"/>
        <c:axPos val="b"/>
        <c:majorTickMark val="out"/>
        <c:minorTickMark val="none"/>
        <c:tickLblPos val="nextTo"/>
        <c:crossAx val="557311872"/>
        <c:crosses val="autoZero"/>
        <c:auto val="1"/>
        <c:lblAlgn val="ctr"/>
        <c:lblOffset val="100"/>
        <c:noMultiLvlLbl val="0"/>
      </c:catAx>
      <c:valAx>
        <c:axId val="557311872"/>
        <c:scaling>
          <c:orientation val="minMax"/>
        </c:scaling>
        <c:delete val="0"/>
        <c:axPos val="l"/>
        <c:majorGridlines>
          <c:spPr>
            <a:ln>
              <a:prstDash val="sysDash"/>
            </a:ln>
          </c:spPr>
        </c:majorGridlines>
        <c:title>
          <c:tx>
            <c:rich>
              <a:bodyPr rot="-5400000" vert="horz"/>
              <a:lstStyle/>
              <a:p>
                <a:pPr>
                  <a:defRPr b="0"/>
                </a:pPr>
                <a:r>
                  <a:rPr lang="en-US" b="1"/>
                  <a:t>R/Ton</a:t>
                </a:r>
              </a:p>
            </c:rich>
          </c:tx>
          <c:overlay val="0"/>
        </c:title>
        <c:numFmt formatCode="0" sourceLinked="1"/>
        <c:majorTickMark val="out"/>
        <c:minorTickMark val="none"/>
        <c:tickLblPos val="nextTo"/>
        <c:crossAx val="557310336"/>
        <c:crosses val="autoZero"/>
        <c:crossBetween val="between"/>
      </c:valAx>
      <c:valAx>
        <c:axId val="557318144"/>
        <c:scaling>
          <c:orientation val="minMax"/>
        </c:scaling>
        <c:delete val="0"/>
        <c:axPos val="r"/>
        <c:title>
          <c:tx>
            <c:rich>
              <a:bodyPr rot="-5400000" vert="horz"/>
              <a:lstStyle/>
              <a:p>
                <a:pPr>
                  <a:defRPr/>
                </a:pPr>
                <a:r>
                  <a:rPr lang="en-ZA"/>
                  <a:t>Rand price</a:t>
                </a:r>
              </a:p>
            </c:rich>
          </c:tx>
          <c:overlay val="0"/>
        </c:title>
        <c:numFmt formatCode="0" sourceLinked="1"/>
        <c:majorTickMark val="out"/>
        <c:minorTickMark val="none"/>
        <c:tickLblPos val="nextTo"/>
        <c:crossAx val="557320064"/>
        <c:crosses val="max"/>
        <c:crossBetween val="between"/>
      </c:valAx>
      <c:catAx>
        <c:axId val="557320064"/>
        <c:scaling>
          <c:orientation val="minMax"/>
        </c:scaling>
        <c:delete val="1"/>
        <c:axPos val="b"/>
        <c:majorTickMark val="out"/>
        <c:minorTickMark val="none"/>
        <c:tickLblPos val="none"/>
        <c:crossAx val="557318144"/>
        <c:crosses val="autoZero"/>
        <c:auto val="1"/>
        <c:lblAlgn val="ctr"/>
        <c:lblOffset val="100"/>
        <c:noMultiLvlLbl val="0"/>
      </c:catAx>
    </c:plotArea>
    <c:legend>
      <c:legendPos val="r"/>
      <c:layout>
        <c:manualLayout>
          <c:xMode val="edge"/>
          <c:yMode val="edge"/>
          <c:x val="2.4429133858267752E-3"/>
          <c:y val="0.87346456692913388"/>
          <c:w val="0.99200153105861766"/>
          <c:h val="0.12344123651210266"/>
        </c:manualLayout>
      </c:layout>
      <c:overlay val="0"/>
    </c:legend>
    <c:plotVisOnly val="1"/>
    <c:dispBlanksAs val="gap"/>
    <c:showDLblsOverMax val="0"/>
  </c:chart>
  <c:spPr>
    <a:solidFill>
      <a:schemeClr val="accent3">
        <a:lumMod val="20000"/>
        <a:lumOff val="80000"/>
      </a:schemeClr>
    </a:solidFill>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Sunflower!$IE$33</c:f>
              <c:strCache>
                <c:ptCount val="1"/>
                <c:pt idx="0">
                  <c:v>Producer deliveries</c:v>
                </c:pt>
              </c:strCache>
            </c:strRef>
          </c:tx>
          <c:spPr>
            <a:solidFill>
              <a:srgbClr val="005D28"/>
            </a:solidFill>
          </c:spPr>
          <c:invertIfNegative val="0"/>
          <c:cat>
            <c:strRef>
              <c:f>Sunflower!$IF$32:$IJ$32</c:f>
              <c:strCache>
                <c:ptCount val="5"/>
                <c:pt idx="0">
                  <c:v>Q1/2016</c:v>
                </c:pt>
                <c:pt idx="1">
                  <c:v>Q2/2016</c:v>
                </c:pt>
                <c:pt idx="2">
                  <c:v>Q3/2016</c:v>
                </c:pt>
                <c:pt idx="3">
                  <c:v>Q4/2016</c:v>
                </c:pt>
                <c:pt idx="4">
                  <c:v>Q1/2017</c:v>
                </c:pt>
              </c:strCache>
            </c:strRef>
          </c:cat>
          <c:val>
            <c:numRef>
              <c:f>Sunflower!$IF$33:$IJ$33</c:f>
              <c:numCache>
                <c:formatCode>General</c:formatCode>
                <c:ptCount val="5"/>
                <c:pt idx="0">
                  <c:v>13249</c:v>
                </c:pt>
                <c:pt idx="1">
                  <c:v>524024</c:v>
                </c:pt>
                <c:pt idx="2">
                  <c:v>213555</c:v>
                </c:pt>
                <c:pt idx="3">
                  <c:v>5078</c:v>
                </c:pt>
                <c:pt idx="4">
                  <c:v>133126</c:v>
                </c:pt>
              </c:numCache>
            </c:numRef>
          </c:val>
        </c:ser>
        <c:ser>
          <c:idx val="1"/>
          <c:order val="1"/>
          <c:tx>
            <c:strRef>
              <c:f>Sunflower!$IE$34</c:f>
              <c:strCache>
                <c:ptCount val="1"/>
                <c:pt idx="0">
                  <c:v>Imports </c:v>
                </c:pt>
              </c:strCache>
            </c:strRef>
          </c:tx>
          <c:spPr>
            <a:solidFill>
              <a:srgbClr val="531A17"/>
            </a:solidFill>
          </c:spPr>
          <c:invertIfNegative val="0"/>
          <c:cat>
            <c:strRef>
              <c:f>Sunflower!$IF$32:$IJ$32</c:f>
              <c:strCache>
                <c:ptCount val="5"/>
                <c:pt idx="0">
                  <c:v>Q1/2016</c:v>
                </c:pt>
                <c:pt idx="1">
                  <c:v>Q2/2016</c:v>
                </c:pt>
                <c:pt idx="2">
                  <c:v>Q3/2016</c:v>
                </c:pt>
                <c:pt idx="3">
                  <c:v>Q4/2016</c:v>
                </c:pt>
                <c:pt idx="4">
                  <c:v>Q1/2017</c:v>
                </c:pt>
              </c:strCache>
            </c:strRef>
          </c:cat>
          <c:val>
            <c:numRef>
              <c:f>Sunflower!$IF$34:$IJ$34</c:f>
              <c:numCache>
                <c:formatCode>General</c:formatCode>
                <c:ptCount val="5"/>
                <c:pt idx="0">
                  <c:v>665</c:v>
                </c:pt>
                <c:pt idx="1">
                  <c:v>16727</c:v>
                </c:pt>
                <c:pt idx="2">
                  <c:v>1643</c:v>
                </c:pt>
                <c:pt idx="3">
                  <c:v>22188</c:v>
                </c:pt>
                <c:pt idx="4">
                  <c:v>30037</c:v>
                </c:pt>
              </c:numCache>
            </c:numRef>
          </c:val>
        </c:ser>
        <c:ser>
          <c:idx val="2"/>
          <c:order val="2"/>
          <c:tx>
            <c:strRef>
              <c:f>Sunflower!$IE$35</c:f>
              <c:strCache>
                <c:ptCount val="1"/>
                <c:pt idx="0">
                  <c:v>Local Demand</c:v>
                </c:pt>
              </c:strCache>
            </c:strRef>
          </c:tx>
          <c:spPr>
            <a:solidFill>
              <a:srgbClr val="D8A851"/>
            </a:solidFill>
          </c:spPr>
          <c:invertIfNegative val="0"/>
          <c:cat>
            <c:strRef>
              <c:f>Sunflower!$IF$32:$IJ$32</c:f>
              <c:strCache>
                <c:ptCount val="5"/>
                <c:pt idx="0">
                  <c:v>Q1/2016</c:v>
                </c:pt>
                <c:pt idx="1">
                  <c:v>Q2/2016</c:v>
                </c:pt>
                <c:pt idx="2">
                  <c:v>Q3/2016</c:v>
                </c:pt>
                <c:pt idx="3">
                  <c:v>Q4/2016</c:v>
                </c:pt>
                <c:pt idx="4">
                  <c:v>Q1/2017</c:v>
                </c:pt>
              </c:strCache>
            </c:strRef>
          </c:cat>
          <c:val>
            <c:numRef>
              <c:f>Sunflower!$IF$35:$IJ$35</c:f>
              <c:numCache>
                <c:formatCode>General</c:formatCode>
                <c:ptCount val="5"/>
                <c:pt idx="0">
                  <c:v>89915</c:v>
                </c:pt>
                <c:pt idx="1">
                  <c:v>152191</c:v>
                </c:pt>
                <c:pt idx="2">
                  <c:v>220741</c:v>
                </c:pt>
                <c:pt idx="3">
                  <c:v>190643</c:v>
                </c:pt>
                <c:pt idx="4">
                  <c:v>196788</c:v>
                </c:pt>
              </c:numCache>
            </c:numRef>
          </c:val>
        </c:ser>
        <c:ser>
          <c:idx val="3"/>
          <c:order val="3"/>
          <c:tx>
            <c:strRef>
              <c:f>Sunflower!$IE$36</c:f>
              <c:strCache>
                <c:ptCount val="1"/>
                <c:pt idx="0">
                  <c:v>Exports - Whole Sunflower seeds</c:v>
                </c:pt>
              </c:strCache>
            </c:strRef>
          </c:tx>
          <c:invertIfNegative val="0"/>
          <c:cat>
            <c:strRef>
              <c:f>Sunflower!$IF$32:$IJ$32</c:f>
              <c:strCache>
                <c:ptCount val="5"/>
                <c:pt idx="0">
                  <c:v>Q1/2016</c:v>
                </c:pt>
                <c:pt idx="1">
                  <c:v>Q2/2016</c:v>
                </c:pt>
                <c:pt idx="2">
                  <c:v>Q3/2016</c:v>
                </c:pt>
                <c:pt idx="3">
                  <c:v>Q4/2016</c:v>
                </c:pt>
                <c:pt idx="4">
                  <c:v>Q1/2017</c:v>
                </c:pt>
              </c:strCache>
            </c:strRef>
          </c:cat>
          <c:val>
            <c:numRef>
              <c:f>Sunflower!$IF$36:$IJ$36</c:f>
              <c:numCache>
                <c:formatCode>General</c:formatCode>
                <c:ptCount val="5"/>
                <c:pt idx="0">
                  <c:v>60</c:v>
                </c:pt>
                <c:pt idx="1">
                  <c:v>65</c:v>
                </c:pt>
                <c:pt idx="2">
                  <c:v>102</c:v>
                </c:pt>
                <c:pt idx="3">
                  <c:v>5</c:v>
                </c:pt>
                <c:pt idx="4">
                  <c:v>71</c:v>
                </c:pt>
              </c:numCache>
            </c:numRef>
          </c:val>
        </c:ser>
        <c:dLbls>
          <c:showLegendKey val="0"/>
          <c:showVal val="0"/>
          <c:showCatName val="0"/>
          <c:showSerName val="0"/>
          <c:showPercent val="0"/>
          <c:showBubbleSize val="0"/>
        </c:dLbls>
        <c:gapWidth val="150"/>
        <c:axId val="557357312"/>
        <c:axId val="557363200"/>
      </c:barChart>
      <c:catAx>
        <c:axId val="557357312"/>
        <c:scaling>
          <c:orientation val="minMax"/>
        </c:scaling>
        <c:delete val="0"/>
        <c:axPos val="b"/>
        <c:majorTickMark val="out"/>
        <c:minorTickMark val="none"/>
        <c:tickLblPos val="nextTo"/>
        <c:crossAx val="557363200"/>
        <c:crosses val="autoZero"/>
        <c:auto val="1"/>
        <c:lblAlgn val="ctr"/>
        <c:lblOffset val="100"/>
        <c:noMultiLvlLbl val="0"/>
      </c:catAx>
      <c:valAx>
        <c:axId val="557363200"/>
        <c:scaling>
          <c:orientation val="minMax"/>
        </c:scaling>
        <c:delete val="0"/>
        <c:axPos val="l"/>
        <c:majorGridlines/>
        <c:title>
          <c:tx>
            <c:rich>
              <a:bodyPr rot="-5400000" vert="horz"/>
              <a:lstStyle/>
              <a:p>
                <a:pPr>
                  <a:defRPr/>
                </a:pPr>
                <a:r>
                  <a:rPr lang="en-ZA"/>
                  <a:t>Tons</a:t>
                </a:r>
              </a:p>
            </c:rich>
          </c:tx>
          <c:overlay val="0"/>
        </c:title>
        <c:numFmt formatCode="General" sourceLinked="1"/>
        <c:majorTickMark val="out"/>
        <c:minorTickMark val="none"/>
        <c:tickLblPos val="nextTo"/>
        <c:crossAx val="557357312"/>
        <c:crosses val="autoZero"/>
        <c:crossBetween val="between"/>
      </c:valAx>
    </c:plotArea>
    <c:legend>
      <c:legendPos val="b"/>
      <c:overlay val="0"/>
    </c:legend>
    <c:plotVisOnly val="1"/>
    <c:dispBlanksAs val="gap"/>
    <c:showDLblsOverMax val="0"/>
  </c:chart>
  <c:spPr>
    <a:solidFill>
      <a:schemeClr val="accent3">
        <a:lumMod val="20000"/>
        <a:lumOff val="80000"/>
      </a:schemeClr>
    </a:solidFill>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69707464524468"/>
          <c:y val="3.2882035578885971E-2"/>
          <c:w val="0.89434451598408182"/>
          <c:h val="0.63792441568155422"/>
        </c:manualLayout>
      </c:layout>
      <c:lineChart>
        <c:grouping val="standard"/>
        <c:varyColors val="0"/>
        <c:ser>
          <c:idx val="0"/>
          <c:order val="0"/>
          <c:tx>
            <c:strRef>
              <c:f>Sheet2!$B$17</c:f>
              <c:strCache>
                <c:ptCount val="1"/>
                <c:pt idx="0">
                  <c:v>Import  Price (Randfontein)</c:v>
                </c:pt>
              </c:strCache>
            </c:strRef>
          </c:tx>
          <c:marker>
            <c:symbol val="none"/>
          </c:marker>
          <c:cat>
            <c:strRef>
              <c:f>Sheet2!$D$2:$AE$2</c:f>
              <c:strCache>
                <c:ptCount val="28"/>
                <c:pt idx="0">
                  <c:v>2015M01</c:v>
                </c:pt>
                <c:pt idx="1">
                  <c:v>2015M02</c:v>
                </c:pt>
                <c:pt idx="2">
                  <c:v>2015M03</c:v>
                </c:pt>
                <c:pt idx="3">
                  <c:v>2015M04</c:v>
                </c:pt>
                <c:pt idx="4">
                  <c:v>2015M05</c:v>
                </c:pt>
                <c:pt idx="5">
                  <c:v>2015M06</c:v>
                </c:pt>
                <c:pt idx="6">
                  <c:v>2015M07</c:v>
                </c:pt>
                <c:pt idx="7">
                  <c:v>2015M08</c:v>
                </c:pt>
                <c:pt idx="8">
                  <c:v>2015M09</c:v>
                </c:pt>
                <c:pt idx="9">
                  <c:v>2015M10</c:v>
                </c:pt>
                <c:pt idx="10">
                  <c:v>2015M11</c:v>
                </c:pt>
                <c:pt idx="11">
                  <c:v>2015M12</c:v>
                </c:pt>
                <c:pt idx="12">
                  <c:v>2016M01</c:v>
                </c:pt>
                <c:pt idx="13">
                  <c:v>2016M02</c:v>
                </c:pt>
                <c:pt idx="14">
                  <c:v>2016M03</c:v>
                </c:pt>
                <c:pt idx="15">
                  <c:v>2016M04</c:v>
                </c:pt>
                <c:pt idx="16">
                  <c:v>2016M05</c:v>
                </c:pt>
                <c:pt idx="17">
                  <c:v>2016M06</c:v>
                </c:pt>
                <c:pt idx="18">
                  <c:v>2016M07</c:v>
                </c:pt>
                <c:pt idx="19">
                  <c:v>2016M08</c:v>
                </c:pt>
                <c:pt idx="20">
                  <c:v>2016M09</c:v>
                </c:pt>
                <c:pt idx="21">
                  <c:v>2016M10</c:v>
                </c:pt>
                <c:pt idx="22">
                  <c:v>2016M11</c:v>
                </c:pt>
                <c:pt idx="23">
                  <c:v>2016M12</c:v>
                </c:pt>
                <c:pt idx="24">
                  <c:v>2017M01</c:v>
                </c:pt>
                <c:pt idx="25">
                  <c:v>2017M02</c:v>
                </c:pt>
                <c:pt idx="26">
                  <c:v>2017M03</c:v>
                </c:pt>
                <c:pt idx="27">
                  <c:v>2017M04</c:v>
                </c:pt>
              </c:strCache>
            </c:strRef>
          </c:cat>
          <c:val>
            <c:numRef>
              <c:f>Sheet2!$D$17:$AE$17</c:f>
              <c:numCache>
                <c:formatCode>0.00</c:formatCode>
                <c:ptCount val="28"/>
                <c:pt idx="0">
                  <c:v>3742.4346930665192</c:v>
                </c:pt>
                <c:pt idx="1">
                  <c:v>3742.3335646310429</c:v>
                </c:pt>
                <c:pt idx="2">
                  <c:v>4049.4673903926664</c:v>
                </c:pt>
                <c:pt idx="3">
                  <c:v>3655.919460844741</c:v>
                </c:pt>
                <c:pt idx="4">
                  <c:v>3181.5334830632451</c:v>
                </c:pt>
                <c:pt idx="5">
                  <c:v>3674.9468933266953</c:v>
                </c:pt>
                <c:pt idx="6">
                  <c:v>3777.8844290607562</c:v>
                </c:pt>
                <c:pt idx="7">
                  <c:v>3464.9663228353138</c:v>
                </c:pt>
                <c:pt idx="8">
                  <c:v>3604.8284429269256</c:v>
                </c:pt>
                <c:pt idx="9">
                  <c:v>3587.041362239599</c:v>
                </c:pt>
                <c:pt idx="10">
                  <c:v>3605.1271145132846</c:v>
                </c:pt>
                <c:pt idx="11">
                  <c:v>3752.6092700114905</c:v>
                </c:pt>
                <c:pt idx="12">
                  <c:v>4014.8961747150997</c:v>
                </c:pt>
                <c:pt idx="13">
                  <c:v>3878.1524101523319</c:v>
                </c:pt>
                <c:pt idx="14">
                  <c:v>3739.3603905996961</c:v>
                </c:pt>
                <c:pt idx="15">
                  <c:v>3400.4451137321062</c:v>
                </c:pt>
                <c:pt idx="16">
                  <c:v>3603.339547156294</c:v>
                </c:pt>
                <c:pt idx="17">
                  <c:v>3539.9498643341044</c:v>
                </c:pt>
                <c:pt idx="18">
                  <c:v>3407.9497420289626</c:v>
                </c:pt>
                <c:pt idx="19">
                  <c:v>2751.2853179131735</c:v>
                </c:pt>
                <c:pt idx="20">
                  <c:v>2803.486256050443</c:v>
                </c:pt>
                <c:pt idx="21">
                  <c:v>2753.8785328402405</c:v>
                </c:pt>
                <c:pt idx="22">
                  <c:v>2749.9284947491128</c:v>
                </c:pt>
                <c:pt idx="23">
                  <c:v>2735.6367941607409</c:v>
                </c:pt>
                <c:pt idx="24">
                  <c:v>2703.7766795144239</c:v>
                </c:pt>
                <c:pt idx="25">
                  <c:v>2655.8974028301491</c:v>
                </c:pt>
                <c:pt idx="26">
                  <c:v>2717.5793966449651</c:v>
                </c:pt>
                <c:pt idx="27">
                  <c:v>2825.6521936359359</c:v>
                </c:pt>
              </c:numCache>
            </c:numRef>
          </c:val>
          <c:smooth val="0"/>
        </c:ser>
        <c:ser>
          <c:idx val="1"/>
          <c:order val="1"/>
          <c:tx>
            <c:strRef>
              <c:f>Sheet2!$B$18</c:f>
              <c:strCache>
                <c:ptCount val="1"/>
                <c:pt idx="0">
                  <c:v>Export Price Randfontein</c:v>
                </c:pt>
              </c:strCache>
            </c:strRef>
          </c:tx>
          <c:marker>
            <c:symbol val="none"/>
          </c:marker>
          <c:cat>
            <c:strRef>
              <c:f>Sheet2!$D$2:$AE$2</c:f>
              <c:strCache>
                <c:ptCount val="28"/>
                <c:pt idx="0">
                  <c:v>2015M01</c:v>
                </c:pt>
                <c:pt idx="1">
                  <c:v>2015M02</c:v>
                </c:pt>
                <c:pt idx="2">
                  <c:v>2015M03</c:v>
                </c:pt>
                <c:pt idx="3">
                  <c:v>2015M04</c:v>
                </c:pt>
                <c:pt idx="4">
                  <c:v>2015M05</c:v>
                </c:pt>
                <c:pt idx="5">
                  <c:v>2015M06</c:v>
                </c:pt>
                <c:pt idx="6">
                  <c:v>2015M07</c:v>
                </c:pt>
                <c:pt idx="7">
                  <c:v>2015M08</c:v>
                </c:pt>
                <c:pt idx="8">
                  <c:v>2015M09</c:v>
                </c:pt>
                <c:pt idx="9">
                  <c:v>2015M10</c:v>
                </c:pt>
                <c:pt idx="10">
                  <c:v>2015M11</c:v>
                </c:pt>
                <c:pt idx="11">
                  <c:v>2015M12</c:v>
                </c:pt>
                <c:pt idx="12">
                  <c:v>2016M01</c:v>
                </c:pt>
                <c:pt idx="13">
                  <c:v>2016M02</c:v>
                </c:pt>
                <c:pt idx="14">
                  <c:v>2016M03</c:v>
                </c:pt>
                <c:pt idx="15">
                  <c:v>2016M04</c:v>
                </c:pt>
                <c:pt idx="16">
                  <c:v>2016M05</c:v>
                </c:pt>
                <c:pt idx="17">
                  <c:v>2016M06</c:v>
                </c:pt>
                <c:pt idx="18">
                  <c:v>2016M07</c:v>
                </c:pt>
                <c:pt idx="19">
                  <c:v>2016M08</c:v>
                </c:pt>
                <c:pt idx="20">
                  <c:v>2016M09</c:v>
                </c:pt>
                <c:pt idx="21">
                  <c:v>2016M10</c:v>
                </c:pt>
                <c:pt idx="22">
                  <c:v>2016M11</c:v>
                </c:pt>
                <c:pt idx="23">
                  <c:v>2016M12</c:v>
                </c:pt>
                <c:pt idx="24">
                  <c:v>2017M01</c:v>
                </c:pt>
                <c:pt idx="25">
                  <c:v>2017M02</c:v>
                </c:pt>
                <c:pt idx="26">
                  <c:v>2017M03</c:v>
                </c:pt>
                <c:pt idx="27">
                  <c:v>2017M04</c:v>
                </c:pt>
              </c:strCache>
            </c:strRef>
          </c:cat>
          <c:val>
            <c:numRef>
              <c:f>Sheet2!$D$18:$AE$18</c:f>
              <c:numCache>
                <c:formatCode>General</c:formatCode>
                <c:ptCount val="28"/>
                <c:pt idx="0">
                  <c:v>3092.7265246400802</c:v>
                </c:pt>
                <c:pt idx="1">
                  <c:v>3164.7338108178078</c:v>
                </c:pt>
                <c:pt idx="2">
                  <c:v>3413.0162273158371</c:v>
                </c:pt>
                <c:pt idx="3">
                  <c:v>3071.575538515991</c:v>
                </c:pt>
                <c:pt idx="4">
                  <c:v>2678.4718901343949</c:v>
                </c:pt>
                <c:pt idx="5">
                  <c:v>3085.843360783248</c:v>
                </c:pt>
                <c:pt idx="6">
                  <c:v>3118.1166666418253</c:v>
                </c:pt>
                <c:pt idx="7">
                  <c:v>2777.7017205907409</c:v>
                </c:pt>
                <c:pt idx="8">
                  <c:v>2889.3391452954675</c:v>
                </c:pt>
                <c:pt idx="9">
                  <c:v>2909.6917497234904</c:v>
                </c:pt>
                <c:pt idx="10">
                  <c:v>2923.0689391413193</c:v>
                </c:pt>
                <c:pt idx="11">
                  <c:v>3069.0410894660231</c:v>
                </c:pt>
                <c:pt idx="12">
                  <c:v>3314.0982903702611</c:v>
                </c:pt>
                <c:pt idx="13">
                  <c:v>3212.822580891358</c:v>
                </c:pt>
                <c:pt idx="14">
                  <c:v>3154.3275715347822</c:v>
                </c:pt>
                <c:pt idx="15">
                  <c:v>2825.0550116137047</c:v>
                </c:pt>
                <c:pt idx="16">
                  <c:v>2955.2050601607352</c:v>
                </c:pt>
                <c:pt idx="17">
                  <c:v>2901.5174488118405</c:v>
                </c:pt>
                <c:pt idx="18">
                  <c:v>2789.7205293635493</c:v>
                </c:pt>
                <c:pt idx="19">
                  <c:v>2210.901370366526</c:v>
                </c:pt>
                <c:pt idx="20">
                  <c:v>2254.724497218032</c:v>
                </c:pt>
                <c:pt idx="21">
                  <c:v>2208.9202956609161</c:v>
                </c:pt>
                <c:pt idx="22">
                  <c:v>2205.620181690846</c:v>
                </c:pt>
                <c:pt idx="23">
                  <c:v>2193.6799827156292</c:v>
                </c:pt>
                <c:pt idx="24">
                  <c:v>2168.9391422108542</c:v>
                </c:pt>
                <c:pt idx="25">
                  <c:v>2130.7137186853311</c:v>
                </c:pt>
                <c:pt idx="26">
                  <c:v>2108.3963263985793</c:v>
                </c:pt>
                <c:pt idx="27">
                  <c:v>2197.6830458032432</c:v>
                </c:pt>
              </c:numCache>
            </c:numRef>
          </c:val>
          <c:smooth val="0"/>
        </c:ser>
        <c:ser>
          <c:idx val="3"/>
          <c:order val="2"/>
          <c:tx>
            <c:strRef>
              <c:f>Sheet2!$B$20</c:f>
              <c:strCache>
                <c:ptCount val="1"/>
                <c:pt idx="0">
                  <c:v>Sorghum Price Randfontein (Safex)</c:v>
                </c:pt>
              </c:strCache>
            </c:strRef>
          </c:tx>
          <c:marker>
            <c:symbol val="none"/>
          </c:marker>
          <c:cat>
            <c:strRef>
              <c:f>Sheet2!$D$2:$AE$2</c:f>
              <c:strCache>
                <c:ptCount val="28"/>
                <c:pt idx="0">
                  <c:v>2015M01</c:v>
                </c:pt>
                <c:pt idx="1">
                  <c:v>2015M02</c:v>
                </c:pt>
                <c:pt idx="2">
                  <c:v>2015M03</c:v>
                </c:pt>
                <c:pt idx="3">
                  <c:v>2015M04</c:v>
                </c:pt>
                <c:pt idx="4">
                  <c:v>2015M05</c:v>
                </c:pt>
                <c:pt idx="5">
                  <c:v>2015M06</c:v>
                </c:pt>
                <c:pt idx="6">
                  <c:v>2015M07</c:v>
                </c:pt>
                <c:pt idx="7">
                  <c:v>2015M08</c:v>
                </c:pt>
                <c:pt idx="8">
                  <c:v>2015M09</c:v>
                </c:pt>
                <c:pt idx="9">
                  <c:v>2015M10</c:v>
                </c:pt>
                <c:pt idx="10">
                  <c:v>2015M11</c:v>
                </c:pt>
                <c:pt idx="11">
                  <c:v>2015M12</c:v>
                </c:pt>
                <c:pt idx="12">
                  <c:v>2016M01</c:v>
                </c:pt>
                <c:pt idx="13">
                  <c:v>2016M02</c:v>
                </c:pt>
                <c:pt idx="14">
                  <c:v>2016M03</c:v>
                </c:pt>
                <c:pt idx="15">
                  <c:v>2016M04</c:v>
                </c:pt>
                <c:pt idx="16">
                  <c:v>2016M05</c:v>
                </c:pt>
                <c:pt idx="17">
                  <c:v>2016M06</c:v>
                </c:pt>
                <c:pt idx="18">
                  <c:v>2016M07</c:v>
                </c:pt>
                <c:pt idx="19">
                  <c:v>2016M08</c:v>
                </c:pt>
                <c:pt idx="20">
                  <c:v>2016M09</c:v>
                </c:pt>
                <c:pt idx="21">
                  <c:v>2016M10</c:v>
                </c:pt>
                <c:pt idx="22">
                  <c:v>2016M11</c:v>
                </c:pt>
                <c:pt idx="23">
                  <c:v>2016M12</c:v>
                </c:pt>
                <c:pt idx="24">
                  <c:v>2017M01</c:v>
                </c:pt>
                <c:pt idx="25">
                  <c:v>2017M02</c:v>
                </c:pt>
                <c:pt idx="26">
                  <c:v>2017M03</c:v>
                </c:pt>
                <c:pt idx="27">
                  <c:v>2017M04</c:v>
                </c:pt>
              </c:strCache>
            </c:strRef>
          </c:cat>
          <c:val>
            <c:numRef>
              <c:f>Sheet2!$D$20:$AE$20</c:f>
              <c:numCache>
                <c:formatCode>0</c:formatCode>
                <c:ptCount val="28"/>
                <c:pt idx="0">
                  <c:v>2306.6666666666665</c:v>
                </c:pt>
                <c:pt idx="1">
                  <c:v>2296.4499999999998</c:v>
                </c:pt>
                <c:pt idx="2">
                  <c:v>2427.909090909091</c:v>
                </c:pt>
                <c:pt idx="3">
                  <c:v>2533.1578947368421</c:v>
                </c:pt>
                <c:pt idx="4">
                  <c:v>2620</c:v>
                </c:pt>
                <c:pt idx="5">
                  <c:v>2762.1428571428573</c:v>
                </c:pt>
                <c:pt idx="6">
                  <c:v>3034.782608695652</c:v>
                </c:pt>
                <c:pt idx="7">
                  <c:v>3049</c:v>
                </c:pt>
                <c:pt idx="8">
                  <c:v>3042.8571428571427</c:v>
                </c:pt>
                <c:pt idx="9">
                  <c:v>3040</c:v>
                </c:pt>
                <c:pt idx="10">
                  <c:v>3115.7142857142858</c:v>
                </c:pt>
                <c:pt idx="11">
                  <c:v>3266.8095238095239</c:v>
                </c:pt>
                <c:pt idx="12">
                  <c:v>3663.35</c:v>
                </c:pt>
                <c:pt idx="13">
                  <c:v>3852.8032786885246</c:v>
                </c:pt>
                <c:pt idx="14">
                  <c:v>3913.8</c:v>
                </c:pt>
                <c:pt idx="15">
                  <c:v>3600</c:v>
                </c:pt>
                <c:pt idx="16">
                  <c:v>3676.3809523809523</c:v>
                </c:pt>
                <c:pt idx="17">
                  <c:v>3732.1904761904761</c:v>
                </c:pt>
                <c:pt idx="18">
                  <c:v>3605.1428571428573</c:v>
                </c:pt>
                <c:pt idx="19">
                  <c:v>3585.7142857142858</c:v>
                </c:pt>
                <c:pt idx="20">
                  <c:v>3508.181818181818</c:v>
                </c:pt>
                <c:pt idx="21">
                  <c:v>3630.0952380952381</c:v>
                </c:pt>
                <c:pt idx="22">
                  <c:v>3499.2727272727275</c:v>
                </c:pt>
                <c:pt idx="23">
                  <c:v>3591.6842105263158</c:v>
                </c:pt>
                <c:pt idx="24">
                  <c:v>3600.9523809523807</c:v>
                </c:pt>
                <c:pt idx="25" formatCode="General">
                  <c:v>3462</c:v>
                </c:pt>
                <c:pt idx="26" formatCode="General">
                  <c:v>3214.090909090909</c:v>
                </c:pt>
                <c:pt idx="27" formatCode="General">
                  <c:v>2970</c:v>
                </c:pt>
              </c:numCache>
            </c:numRef>
          </c:val>
          <c:smooth val="0"/>
        </c:ser>
        <c:dLbls>
          <c:showLegendKey val="0"/>
          <c:showVal val="0"/>
          <c:showCatName val="0"/>
          <c:showSerName val="0"/>
          <c:showPercent val="0"/>
          <c:showBubbleSize val="0"/>
        </c:dLbls>
        <c:marker val="1"/>
        <c:smooth val="0"/>
        <c:axId val="557206144"/>
        <c:axId val="557261184"/>
      </c:lineChart>
      <c:catAx>
        <c:axId val="557206144"/>
        <c:scaling>
          <c:orientation val="minMax"/>
        </c:scaling>
        <c:delete val="0"/>
        <c:axPos val="b"/>
        <c:majorTickMark val="out"/>
        <c:minorTickMark val="none"/>
        <c:tickLblPos val="nextTo"/>
        <c:crossAx val="557261184"/>
        <c:crosses val="autoZero"/>
        <c:auto val="1"/>
        <c:lblAlgn val="ctr"/>
        <c:lblOffset val="100"/>
        <c:noMultiLvlLbl val="0"/>
      </c:catAx>
      <c:valAx>
        <c:axId val="557261184"/>
        <c:scaling>
          <c:orientation val="minMax"/>
        </c:scaling>
        <c:delete val="0"/>
        <c:axPos val="l"/>
        <c:majorGridlines>
          <c:spPr>
            <a:ln>
              <a:solidFill>
                <a:schemeClr val="accent1"/>
              </a:solidFill>
              <a:prstDash val="sysDot"/>
            </a:ln>
          </c:spPr>
        </c:majorGridlines>
        <c:title>
          <c:tx>
            <c:rich>
              <a:bodyPr rot="-5400000" vert="horz"/>
              <a:lstStyle/>
              <a:p>
                <a:pPr>
                  <a:defRPr b="0"/>
                </a:pPr>
                <a:r>
                  <a:rPr lang="en-US" b="0"/>
                  <a:t>R/Ton</a:t>
                </a:r>
              </a:p>
            </c:rich>
          </c:tx>
          <c:layout>
            <c:manualLayout>
              <c:xMode val="edge"/>
              <c:yMode val="edge"/>
              <c:x val="0"/>
              <c:y val="0.28280390139394851"/>
            </c:manualLayout>
          </c:layout>
          <c:overlay val="0"/>
        </c:title>
        <c:numFmt formatCode="0" sourceLinked="0"/>
        <c:majorTickMark val="out"/>
        <c:minorTickMark val="none"/>
        <c:tickLblPos val="nextTo"/>
        <c:spPr>
          <a:ln>
            <a:prstDash val="sysDot"/>
          </a:ln>
        </c:spPr>
        <c:crossAx val="557206144"/>
        <c:crosses val="autoZero"/>
        <c:crossBetween val="between"/>
        <c:majorUnit val="1000"/>
      </c:valAx>
    </c:plotArea>
    <c:legend>
      <c:legendPos val="r"/>
      <c:layout>
        <c:manualLayout>
          <c:xMode val="edge"/>
          <c:yMode val="edge"/>
          <c:x val="5.2096237970253721E-2"/>
          <c:y val="0.88033302586714135"/>
          <c:w val="0.94234820647419071"/>
          <c:h val="0.11621764133415907"/>
        </c:manualLayout>
      </c:layout>
      <c:overlay val="0"/>
    </c:legend>
    <c:plotVisOnly val="1"/>
    <c:dispBlanksAs val="gap"/>
    <c:showDLblsOverMax val="0"/>
  </c:chart>
  <c:spPr>
    <a:solidFill>
      <a:schemeClr val="accent3">
        <a:lumMod val="20000"/>
        <a:lumOff val="80000"/>
      </a:schemeClr>
    </a:solidFill>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Groundnuts!$B$41</c:f>
              <c:strCache>
                <c:ptCount val="1"/>
                <c:pt idx="0">
                  <c:v>Jan 2017</c:v>
                </c:pt>
              </c:strCache>
            </c:strRef>
          </c:tx>
          <c:spPr>
            <a:solidFill>
              <a:srgbClr val="005D28"/>
            </a:solidFill>
            <a:scene3d>
              <a:camera prst="orthographicFront"/>
              <a:lightRig rig="threePt" dir="t"/>
            </a:scene3d>
            <a:sp3d>
              <a:bevelT/>
            </a:sp3d>
          </c:spPr>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Groundnuts!$A$42:$A$45</c:f>
              <c:strCache>
                <c:ptCount val="4"/>
                <c:pt idx="0">
                  <c:v>Producer Deliveries</c:v>
                </c:pt>
                <c:pt idx="1">
                  <c:v>Imports </c:v>
                </c:pt>
                <c:pt idx="2">
                  <c:v>Local Demand</c:v>
                </c:pt>
                <c:pt idx="3">
                  <c:v>Exports </c:v>
                </c:pt>
              </c:strCache>
            </c:strRef>
          </c:cat>
          <c:val>
            <c:numRef>
              <c:f>Groundnuts!$B$42:$B$45</c:f>
              <c:numCache>
                <c:formatCode>#,##0</c:formatCode>
                <c:ptCount val="4"/>
                <c:pt idx="0">
                  <c:v>12</c:v>
                </c:pt>
                <c:pt idx="1">
                  <c:v>5564</c:v>
                </c:pt>
                <c:pt idx="2">
                  <c:v>5393</c:v>
                </c:pt>
                <c:pt idx="3">
                  <c:v>457</c:v>
                </c:pt>
              </c:numCache>
            </c:numRef>
          </c:val>
        </c:ser>
        <c:ser>
          <c:idx val="1"/>
          <c:order val="1"/>
          <c:tx>
            <c:strRef>
              <c:f>Groundnuts!$C$41</c:f>
              <c:strCache>
                <c:ptCount val="1"/>
                <c:pt idx="0">
                  <c:v>Feb 2017</c:v>
                </c:pt>
              </c:strCache>
            </c:strRef>
          </c:tx>
          <c:spPr>
            <a:scene3d>
              <a:camera prst="orthographicFront"/>
              <a:lightRig rig="threePt" dir="t"/>
            </a:scene3d>
            <a:sp3d>
              <a:bevelT/>
            </a:sp3d>
          </c:spPr>
          <c:invertIfNegative val="0"/>
          <c:dLbls>
            <c:dLbl>
              <c:idx val="1"/>
              <c:layout>
                <c:manualLayout>
                  <c:x val="1.6666666666666656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5555555555555558E-3"/>
                  <c:y val="0.10185185185185186"/>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Groundnuts!$A$42:$A$45</c:f>
              <c:strCache>
                <c:ptCount val="4"/>
                <c:pt idx="0">
                  <c:v>Producer Deliveries</c:v>
                </c:pt>
                <c:pt idx="1">
                  <c:v>Imports </c:v>
                </c:pt>
                <c:pt idx="2">
                  <c:v>Local Demand</c:v>
                </c:pt>
                <c:pt idx="3">
                  <c:v>Exports </c:v>
                </c:pt>
              </c:strCache>
            </c:strRef>
          </c:cat>
          <c:val>
            <c:numRef>
              <c:f>Groundnuts!$C$42:$C$45</c:f>
              <c:numCache>
                <c:formatCode>#,##0</c:formatCode>
                <c:ptCount val="4"/>
                <c:pt idx="0">
                  <c:v>38</c:v>
                </c:pt>
                <c:pt idx="1">
                  <c:v>4257</c:v>
                </c:pt>
                <c:pt idx="2">
                  <c:v>5077</c:v>
                </c:pt>
                <c:pt idx="3">
                  <c:v>108</c:v>
                </c:pt>
              </c:numCache>
            </c:numRef>
          </c:val>
        </c:ser>
        <c:ser>
          <c:idx val="2"/>
          <c:order val="2"/>
          <c:tx>
            <c:strRef>
              <c:f>Groundnuts!$D$41</c:f>
              <c:strCache>
                <c:ptCount val="1"/>
                <c:pt idx="0">
                  <c:v>March 2017</c:v>
                </c:pt>
              </c:strCache>
            </c:strRef>
          </c:tx>
          <c:spPr>
            <a:scene3d>
              <a:camera prst="orthographicFront"/>
              <a:lightRig rig="threePt" dir="t"/>
            </a:scene3d>
            <a:sp3d>
              <a:bevelT/>
            </a:sp3d>
          </c:spPr>
          <c:invertIfNegative val="0"/>
          <c:dLbls>
            <c:dLbl>
              <c:idx val="1"/>
              <c:layout>
                <c:manualLayout>
                  <c:x val="1.6666666666666708E-2"/>
                  <c:y val="0.19444444444444525"/>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Groundnuts!$A$42:$A$45</c:f>
              <c:strCache>
                <c:ptCount val="4"/>
                <c:pt idx="0">
                  <c:v>Producer Deliveries</c:v>
                </c:pt>
                <c:pt idx="1">
                  <c:v>Imports </c:v>
                </c:pt>
                <c:pt idx="2">
                  <c:v>Local Demand</c:v>
                </c:pt>
                <c:pt idx="3">
                  <c:v>Exports </c:v>
                </c:pt>
              </c:strCache>
            </c:strRef>
          </c:cat>
          <c:val>
            <c:numRef>
              <c:f>Groundnuts!$D$42:$D$45</c:f>
              <c:numCache>
                <c:formatCode>#,##0</c:formatCode>
                <c:ptCount val="4"/>
                <c:pt idx="0">
                  <c:v>381</c:v>
                </c:pt>
                <c:pt idx="1">
                  <c:v>4375</c:v>
                </c:pt>
                <c:pt idx="2">
                  <c:v>6473</c:v>
                </c:pt>
                <c:pt idx="3">
                  <c:v>0</c:v>
                </c:pt>
              </c:numCache>
            </c:numRef>
          </c:val>
        </c:ser>
        <c:dLbls>
          <c:showLegendKey val="0"/>
          <c:showVal val="0"/>
          <c:showCatName val="0"/>
          <c:showSerName val="0"/>
          <c:showPercent val="0"/>
          <c:showBubbleSize val="0"/>
        </c:dLbls>
        <c:gapWidth val="150"/>
        <c:axId val="589675520"/>
        <c:axId val="589681408"/>
      </c:barChart>
      <c:catAx>
        <c:axId val="589675520"/>
        <c:scaling>
          <c:orientation val="minMax"/>
        </c:scaling>
        <c:delete val="0"/>
        <c:axPos val="b"/>
        <c:numFmt formatCode="General" sourceLinked="0"/>
        <c:majorTickMark val="out"/>
        <c:minorTickMark val="none"/>
        <c:tickLblPos val="nextTo"/>
        <c:crossAx val="589681408"/>
        <c:crosses val="autoZero"/>
        <c:auto val="1"/>
        <c:lblAlgn val="ctr"/>
        <c:lblOffset val="100"/>
        <c:noMultiLvlLbl val="0"/>
      </c:catAx>
      <c:valAx>
        <c:axId val="589681408"/>
        <c:scaling>
          <c:orientation val="minMax"/>
        </c:scaling>
        <c:delete val="0"/>
        <c:axPos val="l"/>
        <c:majorGridlines/>
        <c:title>
          <c:tx>
            <c:rich>
              <a:bodyPr rot="-5400000" vert="horz"/>
              <a:lstStyle/>
              <a:p>
                <a:pPr>
                  <a:defRPr b="0"/>
                </a:pPr>
                <a:r>
                  <a:rPr lang="en-ZA" b="0"/>
                  <a:t>Tons</a:t>
                </a:r>
              </a:p>
            </c:rich>
          </c:tx>
          <c:layout>
            <c:manualLayout>
              <c:xMode val="edge"/>
              <c:yMode val="edge"/>
              <c:x val="1.6666666666666708E-2"/>
              <c:y val="0.27300925925925995"/>
            </c:manualLayout>
          </c:layout>
          <c:overlay val="0"/>
        </c:title>
        <c:numFmt formatCode="#,##0" sourceLinked="1"/>
        <c:majorTickMark val="out"/>
        <c:minorTickMark val="none"/>
        <c:tickLblPos val="nextTo"/>
        <c:crossAx val="589675520"/>
        <c:crosses val="autoZero"/>
        <c:crossBetween val="between"/>
      </c:valAx>
    </c:plotArea>
    <c:legend>
      <c:legendPos val="b"/>
      <c:overlay val="0"/>
    </c:legend>
    <c:plotVisOnly val="1"/>
    <c:dispBlanksAs val="gap"/>
    <c:showDLblsOverMax val="0"/>
  </c:chart>
  <c:spPr>
    <a:solidFill>
      <a:schemeClr val="accent3">
        <a:lumMod val="20000"/>
        <a:lumOff val="80000"/>
      </a:schemeClr>
    </a:solidFill>
  </c:spPr>
  <c:txPr>
    <a:bodyPr/>
    <a:lstStyle/>
    <a:p>
      <a:pPr>
        <a:defRPr>
          <a:latin typeface="Arial" pitchFamily="34" charset="0"/>
          <a:cs typeface="Arial" pitchFamily="34"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Groundnuts!$A$52</c:f>
              <c:strCache>
                <c:ptCount val="1"/>
                <c:pt idx="0">
                  <c:v>Imports </c:v>
                </c:pt>
              </c:strCache>
            </c:strRef>
          </c:tx>
          <c:spPr>
            <a:solidFill>
              <a:srgbClr val="005D28"/>
            </a:solidFill>
            <a:scene3d>
              <a:camera prst="orthographicFront"/>
              <a:lightRig rig="threePt" dir="t"/>
            </a:scene3d>
            <a:sp3d>
              <a:bevelT/>
            </a:sp3d>
          </c:spPr>
          <c:invertIfNegative val="0"/>
          <c:cat>
            <c:strRef>
              <c:f>Groundnuts!$B$51:$J$51</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Groundnuts!$B$52:$J$52</c:f>
              <c:numCache>
                <c:formatCode>General</c:formatCode>
                <c:ptCount val="9"/>
                <c:pt idx="0" formatCode="#,##0">
                  <c:v>1136</c:v>
                </c:pt>
                <c:pt idx="1">
                  <c:v>2185</c:v>
                </c:pt>
                <c:pt idx="2" formatCode="#,##0">
                  <c:v>2329</c:v>
                </c:pt>
                <c:pt idx="3">
                  <c:v>5274</c:v>
                </c:pt>
                <c:pt idx="4">
                  <c:v>7518</c:v>
                </c:pt>
                <c:pt idx="5">
                  <c:v>10384</c:v>
                </c:pt>
                <c:pt idx="6">
                  <c:v>11458</c:v>
                </c:pt>
                <c:pt idx="7" formatCode="#,##0">
                  <c:v>17206</c:v>
                </c:pt>
                <c:pt idx="8" formatCode="#,##0">
                  <c:v>14196</c:v>
                </c:pt>
              </c:numCache>
            </c:numRef>
          </c:val>
        </c:ser>
        <c:ser>
          <c:idx val="1"/>
          <c:order val="1"/>
          <c:tx>
            <c:strRef>
              <c:f>Groundnuts!$A$53</c:f>
              <c:strCache>
                <c:ptCount val="1"/>
                <c:pt idx="0">
                  <c:v>Exports </c:v>
                </c:pt>
              </c:strCache>
            </c:strRef>
          </c:tx>
          <c:spPr>
            <a:solidFill>
              <a:srgbClr val="D8A851"/>
            </a:solidFill>
            <a:scene3d>
              <a:camera prst="orthographicFront"/>
              <a:lightRig rig="threePt" dir="t"/>
            </a:scene3d>
            <a:sp3d>
              <a:bevelT/>
            </a:sp3d>
          </c:spPr>
          <c:invertIfNegative val="0"/>
          <c:cat>
            <c:strRef>
              <c:f>Groundnuts!$B$51:$J$51</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Groundnuts!$B$53:$J$53</c:f>
              <c:numCache>
                <c:formatCode>General</c:formatCode>
                <c:ptCount val="9"/>
                <c:pt idx="0" formatCode="#,##0">
                  <c:v>4134</c:v>
                </c:pt>
                <c:pt idx="1">
                  <c:v>2021</c:v>
                </c:pt>
                <c:pt idx="2" formatCode="#,##0">
                  <c:v>4922</c:v>
                </c:pt>
                <c:pt idx="3">
                  <c:v>4507</c:v>
                </c:pt>
                <c:pt idx="4">
                  <c:v>4263</c:v>
                </c:pt>
                <c:pt idx="5">
                  <c:v>1946</c:v>
                </c:pt>
                <c:pt idx="6">
                  <c:v>3668</c:v>
                </c:pt>
                <c:pt idx="7" formatCode="#,##0">
                  <c:v>1095</c:v>
                </c:pt>
                <c:pt idx="8" formatCode="#,##0">
                  <c:v>565</c:v>
                </c:pt>
              </c:numCache>
            </c:numRef>
          </c:val>
        </c:ser>
        <c:dLbls>
          <c:showLegendKey val="0"/>
          <c:showVal val="0"/>
          <c:showCatName val="0"/>
          <c:showSerName val="0"/>
          <c:showPercent val="0"/>
          <c:showBubbleSize val="0"/>
        </c:dLbls>
        <c:gapWidth val="150"/>
        <c:axId val="589784576"/>
        <c:axId val="589786112"/>
      </c:barChart>
      <c:catAx>
        <c:axId val="589784576"/>
        <c:scaling>
          <c:orientation val="minMax"/>
        </c:scaling>
        <c:delete val="0"/>
        <c:axPos val="b"/>
        <c:numFmt formatCode="General" sourceLinked="0"/>
        <c:majorTickMark val="out"/>
        <c:minorTickMark val="none"/>
        <c:tickLblPos val="nextTo"/>
        <c:crossAx val="589786112"/>
        <c:crosses val="autoZero"/>
        <c:auto val="1"/>
        <c:lblAlgn val="ctr"/>
        <c:lblOffset val="100"/>
        <c:noMultiLvlLbl val="0"/>
      </c:catAx>
      <c:valAx>
        <c:axId val="589786112"/>
        <c:scaling>
          <c:orientation val="minMax"/>
        </c:scaling>
        <c:delete val="0"/>
        <c:axPos val="l"/>
        <c:majorGridlines/>
        <c:title>
          <c:tx>
            <c:rich>
              <a:bodyPr rot="-5400000" vert="horz"/>
              <a:lstStyle/>
              <a:p>
                <a:pPr>
                  <a:defRPr b="0"/>
                </a:pPr>
                <a:r>
                  <a:rPr lang="en-ZA" b="0"/>
                  <a:t>Tons</a:t>
                </a:r>
              </a:p>
            </c:rich>
          </c:tx>
          <c:layout>
            <c:manualLayout>
              <c:xMode val="edge"/>
              <c:yMode val="edge"/>
              <c:x val="2.2222222222222251E-2"/>
              <c:y val="0.27300925925926001"/>
            </c:manualLayout>
          </c:layout>
          <c:overlay val="0"/>
        </c:title>
        <c:numFmt formatCode="#,##0" sourceLinked="1"/>
        <c:majorTickMark val="out"/>
        <c:minorTickMark val="none"/>
        <c:tickLblPos val="nextTo"/>
        <c:crossAx val="589784576"/>
        <c:crosses val="autoZero"/>
        <c:crossBetween val="between"/>
      </c:valAx>
    </c:plotArea>
    <c:legend>
      <c:legendPos val="b"/>
      <c:overlay val="0"/>
    </c:legend>
    <c:plotVisOnly val="1"/>
    <c:dispBlanksAs val="gap"/>
    <c:showDLblsOverMax val="0"/>
  </c:chart>
  <c:spPr>
    <a:solidFill>
      <a:schemeClr val="accent3">
        <a:lumMod val="20000"/>
        <a:lumOff val="80000"/>
      </a:schemeClr>
    </a:solidFill>
  </c:spPr>
  <c:txPr>
    <a:bodyPr/>
    <a:lstStyle/>
    <a:p>
      <a:pPr>
        <a:defRPr>
          <a:latin typeface="Arial" pitchFamily="34" charset="0"/>
          <a:cs typeface="Arial" pitchFamily="34"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Groundnuts!$A$72</c:f>
              <c:strCache>
                <c:ptCount val="1"/>
                <c:pt idx="0">
                  <c:v> - edible market</c:v>
                </c:pt>
              </c:strCache>
            </c:strRef>
          </c:tx>
          <c:spPr>
            <a:solidFill>
              <a:srgbClr val="D8A851"/>
            </a:solidFill>
            <a:scene3d>
              <a:camera prst="orthographicFront"/>
              <a:lightRig rig="threePt" dir="t"/>
            </a:scene3d>
            <a:sp3d>
              <a:bevelT/>
            </a:sp3d>
          </c:spPr>
          <c:invertIfNegative val="0"/>
          <c:cat>
            <c:strRef>
              <c:f>Groundnuts!$B$71:$J$71</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Groundnuts!$B$72:$J$72</c:f>
              <c:numCache>
                <c:formatCode>#,##0</c:formatCode>
                <c:ptCount val="9"/>
                <c:pt idx="0">
                  <c:v>6286</c:v>
                </c:pt>
                <c:pt idx="1">
                  <c:v>8698</c:v>
                </c:pt>
                <c:pt idx="2">
                  <c:v>8872</c:v>
                </c:pt>
                <c:pt idx="3">
                  <c:v>8094</c:v>
                </c:pt>
                <c:pt idx="4">
                  <c:v>6913</c:v>
                </c:pt>
                <c:pt idx="5">
                  <c:v>7007</c:v>
                </c:pt>
                <c:pt idx="6">
                  <c:v>6267</c:v>
                </c:pt>
                <c:pt idx="7">
                  <c:v>7727</c:v>
                </c:pt>
                <c:pt idx="8">
                  <c:v>6503</c:v>
                </c:pt>
              </c:numCache>
            </c:numRef>
          </c:val>
        </c:ser>
        <c:ser>
          <c:idx val="1"/>
          <c:order val="1"/>
          <c:tx>
            <c:strRef>
              <c:f>Groundnuts!$A$73</c:f>
              <c:strCache>
                <c:ptCount val="1"/>
                <c:pt idx="0">
                  <c:v> - Peanut butter</c:v>
                </c:pt>
              </c:strCache>
            </c:strRef>
          </c:tx>
          <c:spPr>
            <a:scene3d>
              <a:camera prst="orthographicFront"/>
              <a:lightRig rig="threePt" dir="t"/>
            </a:scene3d>
            <a:sp3d>
              <a:bevelT/>
            </a:sp3d>
          </c:spPr>
          <c:invertIfNegative val="0"/>
          <c:cat>
            <c:strRef>
              <c:f>Groundnuts!$B$71:$J$71</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Groundnuts!$B$73:$J$73</c:f>
              <c:numCache>
                <c:formatCode>#,##0</c:formatCode>
                <c:ptCount val="9"/>
                <c:pt idx="0">
                  <c:v>6417</c:v>
                </c:pt>
                <c:pt idx="1">
                  <c:v>6010</c:v>
                </c:pt>
                <c:pt idx="2">
                  <c:v>7839</c:v>
                </c:pt>
                <c:pt idx="3">
                  <c:v>7547</c:v>
                </c:pt>
                <c:pt idx="4">
                  <c:v>6846</c:v>
                </c:pt>
                <c:pt idx="5">
                  <c:v>7634</c:v>
                </c:pt>
                <c:pt idx="6">
                  <c:v>8523</c:v>
                </c:pt>
                <c:pt idx="7">
                  <c:v>8161</c:v>
                </c:pt>
                <c:pt idx="8">
                  <c:v>8116</c:v>
                </c:pt>
              </c:numCache>
            </c:numRef>
          </c:val>
        </c:ser>
        <c:ser>
          <c:idx val="2"/>
          <c:order val="2"/>
          <c:tx>
            <c:strRef>
              <c:f>Groundnuts!$A$74</c:f>
              <c:strCache>
                <c:ptCount val="1"/>
                <c:pt idx="0">
                  <c:v> - Crushed oil &amp; cake</c:v>
                </c:pt>
              </c:strCache>
            </c:strRef>
          </c:tx>
          <c:spPr>
            <a:solidFill>
              <a:srgbClr val="005D28"/>
            </a:solidFill>
            <a:scene3d>
              <a:camera prst="orthographicFront"/>
              <a:lightRig rig="threePt" dir="t"/>
            </a:scene3d>
            <a:sp3d>
              <a:bevelT/>
            </a:sp3d>
          </c:spPr>
          <c:invertIfNegative val="0"/>
          <c:cat>
            <c:strRef>
              <c:f>Groundnuts!$B$71:$J$71</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Groundnuts!$B$74:$J$74</c:f>
              <c:numCache>
                <c:formatCode>#,##0</c:formatCode>
                <c:ptCount val="9"/>
                <c:pt idx="0">
                  <c:v>1888</c:v>
                </c:pt>
                <c:pt idx="1">
                  <c:v>891</c:v>
                </c:pt>
                <c:pt idx="2">
                  <c:v>455</c:v>
                </c:pt>
                <c:pt idx="3">
                  <c:v>716</c:v>
                </c:pt>
                <c:pt idx="4">
                  <c:v>204</c:v>
                </c:pt>
                <c:pt idx="5">
                  <c:v>284</c:v>
                </c:pt>
                <c:pt idx="6">
                  <c:v>65</c:v>
                </c:pt>
                <c:pt idx="7">
                  <c:v>181</c:v>
                </c:pt>
                <c:pt idx="8">
                  <c:v>227</c:v>
                </c:pt>
              </c:numCache>
            </c:numRef>
          </c:val>
        </c:ser>
        <c:dLbls>
          <c:showLegendKey val="0"/>
          <c:showVal val="0"/>
          <c:showCatName val="0"/>
          <c:showSerName val="0"/>
          <c:showPercent val="0"/>
          <c:showBubbleSize val="0"/>
        </c:dLbls>
        <c:gapWidth val="150"/>
        <c:axId val="589964032"/>
        <c:axId val="589965568"/>
      </c:barChart>
      <c:catAx>
        <c:axId val="589964032"/>
        <c:scaling>
          <c:orientation val="minMax"/>
        </c:scaling>
        <c:delete val="0"/>
        <c:axPos val="b"/>
        <c:numFmt formatCode="General" sourceLinked="0"/>
        <c:majorTickMark val="out"/>
        <c:minorTickMark val="none"/>
        <c:tickLblPos val="nextTo"/>
        <c:crossAx val="589965568"/>
        <c:crosses val="autoZero"/>
        <c:auto val="1"/>
        <c:lblAlgn val="ctr"/>
        <c:lblOffset val="100"/>
        <c:noMultiLvlLbl val="0"/>
      </c:catAx>
      <c:valAx>
        <c:axId val="589965568"/>
        <c:scaling>
          <c:orientation val="minMax"/>
        </c:scaling>
        <c:delete val="0"/>
        <c:axPos val="l"/>
        <c:majorGridlines/>
        <c:title>
          <c:tx>
            <c:rich>
              <a:bodyPr rot="-5400000" vert="horz"/>
              <a:lstStyle/>
              <a:p>
                <a:pPr>
                  <a:defRPr b="0"/>
                </a:pPr>
                <a:r>
                  <a:rPr lang="en-US" b="0"/>
                  <a:t>Tons</a:t>
                </a:r>
              </a:p>
            </c:rich>
          </c:tx>
          <c:overlay val="0"/>
        </c:title>
        <c:numFmt formatCode="#,##0" sourceLinked="1"/>
        <c:majorTickMark val="out"/>
        <c:minorTickMark val="none"/>
        <c:tickLblPos val="nextTo"/>
        <c:crossAx val="589964032"/>
        <c:crosses val="autoZero"/>
        <c:crossBetween val="between"/>
      </c:valAx>
    </c:plotArea>
    <c:legend>
      <c:legendPos val="b"/>
      <c:overlay val="0"/>
    </c:legend>
    <c:plotVisOnly val="1"/>
    <c:dispBlanksAs val="gap"/>
    <c:showDLblsOverMax val="0"/>
  </c:chart>
  <c:spPr>
    <a:solidFill>
      <a:schemeClr val="accent3">
        <a:lumMod val="20000"/>
        <a:lumOff val="80000"/>
      </a:schemeClr>
    </a:solidFill>
  </c:spPr>
  <c:txPr>
    <a:bodyPr/>
    <a:lstStyle/>
    <a:p>
      <a:pPr>
        <a:defRPr>
          <a:latin typeface="Arial" pitchFamily="34" charset="0"/>
          <a:cs typeface="Arial" pitchFamily="34"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Sheet1!$AH$4:$AI$4</c:f>
              <c:strCache>
                <c:ptCount val="1"/>
                <c:pt idx="0">
                  <c:v>Margarine Brick 500 gr</c:v>
                </c:pt>
              </c:strCache>
            </c:strRef>
          </c:tx>
          <c:spPr>
            <a:ln>
              <a:solidFill>
                <a:srgbClr val="005D28"/>
              </a:solidFill>
            </a:ln>
          </c:spPr>
          <c:marker>
            <c:symbol val="none"/>
          </c:marker>
          <c:cat>
            <c:strRef>
              <c:f>Sheet1!$AJ$2:$BJ$3</c:f>
              <c:strCache>
                <c:ptCount val="27"/>
                <c:pt idx="0">
                  <c:v>Jan-15</c:v>
                </c:pt>
                <c:pt idx="1">
                  <c:v>Feb-15</c:v>
                </c:pt>
                <c:pt idx="2">
                  <c:v>Mar-15</c:v>
                </c:pt>
                <c:pt idx="3">
                  <c:v>Apr-15</c:v>
                </c:pt>
                <c:pt idx="4">
                  <c:v>May-15</c:v>
                </c:pt>
                <c:pt idx="5">
                  <c:v>Jun-15</c:v>
                </c:pt>
                <c:pt idx="6">
                  <c:v>Jul-15</c:v>
                </c:pt>
                <c:pt idx="7">
                  <c:v>Aug-15</c:v>
                </c:pt>
                <c:pt idx="8">
                  <c:v>Sep-15</c:v>
                </c:pt>
                <c:pt idx="9">
                  <c:v>Oct-15</c:v>
                </c:pt>
                <c:pt idx="10">
                  <c:v>Nov-15</c:v>
                </c:pt>
                <c:pt idx="11">
                  <c:v>Dec-15</c:v>
                </c:pt>
                <c:pt idx="12">
                  <c:v>Jan-16</c:v>
                </c:pt>
                <c:pt idx="13">
                  <c:v>Feb-16</c:v>
                </c:pt>
                <c:pt idx="14">
                  <c:v>Mar-16</c:v>
                </c:pt>
                <c:pt idx="15">
                  <c:v>Apr-16</c:v>
                </c:pt>
                <c:pt idx="16">
                  <c:v>May-16</c:v>
                </c:pt>
                <c:pt idx="17">
                  <c:v>Jun-16</c:v>
                </c:pt>
                <c:pt idx="18">
                  <c:v>Jul-16</c:v>
                </c:pt>
                <c:pt idx="19">
                  <c:v>Aug-16</c:v>
                </c:pt>
                <c:pt idx="20">
                  <c:v>Sep-16</c:v>
                </c:pt>
                <c:pt idx="21">
                  <c:v>Oct-16</c:v>
                </c:pt>
                <c:pt idx="22">
                  <c:v>Nov-16</c:v>
                </c:pt>
                <c:pt idx="23">
                  <c:v>Dec-16</c:v>
                </c:pt>
                <c:pt idx="24">
                  <c:v>Jan-17</c:v>
                </c:pt>
                <c:pt idx="25">
                  <c:v>Feb-17</c:v>
                </c:pt>
                <c:pt idx="26">
                  <c:v>Mar-17</c:v>
                </c:pt>
              </c:strCache>
            </c:strRef>
          </c:cat>
          <c:val>
            <c:numRef>
              <c:f>Sheet1!$AJ$4:$BJ$4</c:f>
              <c:numCache>
                <c:formatCode>0.00</c:formatCode>
                <c:ptCount val="27"/>
                <c:pt idx="0">
                  <c:v>18.47</c:v>
                </c:pt>
                <c:pt idx="1">
                  <c:v>19.079999999999988</c:v>
                </c:pt>
                <c:pt idx="2">
                  <c:v>19.38</c:v>
                </c:pt>
                <c:pt idx="3">
                  <c:v>18.989999999999963</c:v>
                </c:pt>
                <c:pt idx="4">
                  <c:v>19.05</c:v>
                </c:pt>
                <c:pt idx="5">
                  <c:v>19.399999999999999</c:v>
                </c:pt>
                <c:pt idx="6">
                  <c:v>19.420000000000002</c:v>
                </c:pt>
                <c:pt idx="7">
                  <c:v>19.939999999999987</c:v>
                </c:pt>
                <c:pt idx="8">
                  <c:v>20.45</c:v>
                </c:pt>
                <c:pt idx="9">
                  <c:v>20.34</c:v>
                </c:pt>
                <c:pt idx="10">
                  <c:v>20.51</c:v>
                </c:pt>
                <c:pt idx="11">
                  <c:v>20.239999999999988</c:v>
                </c:pt>
                <c:pt idx="12">
                  <c:v>19.95</c:v>
                </c:pt>
                <c:pt idx="13">
                  <c:v>20.79</c:v>
                </c:pt>
                <c:pt idx="14">
                  <c:v>20.82</c:v>
                </c:pt>
                <c:pt idx="15">
                  <c:v>20.23</c:v>
                </c:pt>
                <c:pt idx="16">
                  <c:v>21.21</c:v>
                </c:pt>
                <c:pt idx="17">
                  <c:v>21.41</c:v>
                </c:pt>
                <c:pt idx="18">
                  <c:v>22.330000000000005</c:v>
                </c:pt>
                <c:pt idx="19">
                  <c:v>22.630000000000027</c:v>
                </c:pt>
                <c:pt idx="20">
                  <c:v>22.4</c:v>
                </c:pt>
                <c:pt idx="21">
                  <c:v>22.759999999999987</c:v>
                </c:pt>
                <c:pt idx="22">
                  <c:v>21.810000000000027</c:v>
                </c:pt>
                <c:pt idx="23">
                  <c:v>21.86</c:v>
                </c:pt>
                <c:pt idx="24">
                  <c:v>22.82</c:v>
                </c:pt>
                <c:pt idx="25">
                  <c:v>22.35</c:v>
                </c:pt>
                <c:pt idx="26">
                  <c:v>22.279999999999987</c:v>
                </c:pt>
              </c:numCache>
            </c:numRef>
          </c:val>
          <c:smooth val="0"/>
        </c:ser>
        <c:ser>
          <c:idx val="1"/>
          <c:order val="1"/>
          <c:tx>
            <c:strRef>
              <c:f>Sheet1!$AH$5:$AI$5</c:f>
              <c:strCache>
                <c:ptCount val="1"/>
                <c:pt idx="0">
                  <c:v>Peanut Butter 400 gr</c:v>
                </c:pt>
              </c:strCache>
            </c:strRef>
          </c:tx>
          <c:marker>
            <c:symbol val="none"/>
          </c:marker>
          <c:cat>
            <c:strRef>
              <c:f>Sheet1!$AJ$2:$BJ$3</c:f>
              <c:strCache>
                <c:ptCount val="27"/>
                <c:pt idx="0">
                  <c:v>Jan-15</c:v>
                </c:pt>
                <c:pt idx="1">
                  <c:v>Feb-15</c:v>
                </c:pt>
                <c:pt idx="2">
                  <c:v>Mar-15</c:v>
                </c:pt>
                <c:pt idx="3">
                  <c:v>Apr-15</c:v>
                </c:pt>
                <c:pt idx="4">
                  <c:v>May-15</c:v>
                </c:pt>
                <c:pt idx="5">
                  <c:v>Jun-15</c:v>
                </c:pt>
                <c:pt idx="6">
                  <c:v>Jul-15</c:v>
                </c:pt>
                <c:pt idx="7">
                  <c:v>Aug-15</c:v>
                </c:pt>
                <c:pt idx="8">
                  <c:v>Sep-15</c:v>
                </c:pt>
                <c:pt idx="9">
                  <c:v>Oct-15</c:v>
                </c:pt>
                <c:pt idx="10">
                  <c:v>Nov-15</c:v>
                </c:pt>
                <c:pt idx="11">
                  <c:v>Dec-15</c:v>
                </c:pt>
                <c:pt idx="12">
                  <c:v>Jan-16</c:v>
                </c:pt>
                <c:pt idx="13">
                  <c:v>Feb-16</c:v>
                </c:pt>
                <c:pt idx="14">
                  <c:v>Mar-16</c:v>
                </c:pt>
                <c:pt idx="15">
                  <c:v>Apr-16</c:v>
                </c:pt>
                <c:pt idx="16">
                  <c:v>May-16</c:v>
                </c:pt>
                <c:pt idx="17">
                  <c:v>Jun-16</c:v>
                </c:pt>
                <c:pt idx="18">
                  <c:v>Jul-16</c:v>
                </c:pt>
                <c:pt idx="19">
                  <c:v>Aug-16</c:v>
                </c:pt>
                <c:pt idx="20">
                  <c:v>Sep-16</c:v>
                </c:pt>
                <c:pt idx="21">
                  <c:v>Oct-16</c:v>
                </c:pt>
                <c:pt idx="22">
                  <c:v>Nov-16</c:v>
                </c:pt>
                <c:pt idx="23">
                  <c:v>Dec-16</c:v>
                </c:pt>
                <c:pt idx="24">
                  <c:v>Jan-17</c:v>
                </c:pt>
                <c:pt idx="25">
                  <c:v>Feb-17</c:v>
                </c:pt>
                <c:pt idx="26">
                  <c:v>Mar-17</c:v>
                </c:pt>
              </c:strCache>
            </c:strRef>
          </c:cat>
          <c:val>
            <c:numRef>
              <c:f>Sheet1!$AJ$5:$BJ$5</c:f>
              <c:numCache>
                <c:formatCode>0.00</c:formatCode>
                <c:ptCount val="27"/>
                <c:pt idx="0">
                  <c:v>22.06</c:v>
                </c:pt>
                <c:pt idx="1">
                  <c:v>22.630000000000027</c:v>
                </c:pt>
                <c:pt idx="2">
                  <c:v>22.58</c:v>
                </c:pt>
                <c:pt idx="3">
                  <c:v>22.74</c:v>
                </c:pt>
                <c:pt idx="4">
                  <c:v>22.939999999999987</c:v>
                </c:pt>
                <c:pt idx="5">
                  <c:v>22.71</c:v>
                </c:pt>
                <c:pt idx="6">
                  <c:v>22.4</c:v>
                </c:pt>
                <c:pt idx="7">
                  <c:v>23.18</c:v>
                </c:pt>
                <c:pt idx="8">
                  <c:v>22.610000000000028</c:v>
                </c:pt>
                <c:pt idx="9">
                  <c:v>23</c:v>
                </c:pt>
                <c:pt idx="10">
                  <c:v>22.68</c:v>
                </c:pt>
                <c:pt idx="11">
                  <c:v>23.32</c:v>
                </c:pt>
                <c:pt idx="12">
                  <c:v>22.21</c:v>
                </c:pt>
                <c:pt idx="13">
                  <c:v>22.52</c:v>
                </c:pt>
                <c:pt idx="14">
                  <c:v>23.34</c:v>
                </c:pt>
                <c:pt idx="15">
                  <c:v>23.279999999999987</c:v>
                </c:pt>
                <c:pt idx="16">
                  <c:v>24.14</c:v>
                </c:pt>
                <c:pt idx="17">
                  <c:v>24.08</c:v>
                </c:pt>
                <c:pt idx="18">
                  <c:v>24.77</c:v>
                </c:pt>
                <c:pt idx="19">
                  <c:v>25.35</c:v>
                </c:pt>
                <c:pt idx="20">
                  <c:v>25.36</c:v>
                </c:pt>
                <c:pt idx="21">
                  <c:v>26.99</c:v>
                </c:pt>
                <c:pt idx="22">
                  <c:v>27.82</c:v>
                </c:pt>
                <c:pt idx="23">
                  <c:v>27.330000000000005</c:v>
                </c:pt>
                <c:pt idx="24">
                  <c:v>27.310000000000027</c:v>
                </c:pt>
                <c:pt idx="25">
                  <c:v>27.759999999999987</c:v>
                </c:pt>
                <c:pt idx="26">
                  <c:v>27.82</c:v>
                </c:pt>
              </c:numCache>
            </c:numRef>
          </c:val>
          <c:smooth val="0"/>
        </c:ser>
        <c:ser>
          <c:idx val="2"/>
          <c:order val="2"/>
          <c:tx>
            <c:strRef>
              <c:f>Sheet1!$AH$6:$AI$6</c:f>
              <c:strCache>
                <c:ptCount val="1"/>
                <c:pt idx="0">
                  <c:v>Sunflower Oil 750 ml</c:v>
                </c:pt>
              </c:strCache>
            </c:strRef>
          </c:tx>
          <c:marker>
            <c:symbol val="none"/>
          </c:marker>
          <c:cat>
            <c:strRef>
              <c:f>Sheet1!$AJ$2:$BJ$3</c:f>
              <c:strCache>
                <c:ptCount val="27"/>
                <c:pt idx="0">
                  <c:v>Jan-15</c:v>
                </c:pt>
                <c:pt idx="1">
                  <c:v>Feb-15</c:v>
                </c:pt>
                <c:pt idx="2">
                  <c:v>Mar-15</c:v>
                </c:pt>
                <c:pt idx="3">
                  <c:v>Apr-15</c:v>
                </c:pt>
                <c:pt idx="4">
                  <c:v>May-15</c:v>
                </c:pt>
                <c:pt idx="5">
                  <c:v>Jun-15</c:v>
                </c:pt>
                <c:pt idx="6">
                  <c:v>Jul-15</c:v>
                </c:pt>
                <c:pt idx="7">
                  <c:v>Aug-15</c:v>
                </c:pt>
                <c:pt idx="8">
                  <c:v>Sep-15</c:v>
                </c:pt>
                <c:pt idx="9">
                  <c:v>Oct-15</c:v>
                </c:pt>
                <c:pt idx="10">
                  <c:v>Nov-15</c:v>
                </c:pt>
                <c:pt idx="11">
                  <c:v>Dec-15</c:v>
                </c:pt>
                <c:pt idx="12">
                  <c:v>Jan-16</c:v>
                </c:pt>
                <c:pt idx="13">
                  <c:v>Feb-16</c:v>
                </c:pt>
                <c:pt idx="14">
                  <c:v>Mar-16</c:v>
                </c:pt>
                <c:pt idx="15">
                  <c:v>Apr-16</c:v>
                </c:pt>
                <c:pt idx="16">
                  <c:v>May-16</c:v>
                </c:pt>
                <c:pt idx="17">
                  <c:v>Jun-16</c:v>
                </c:pt>
                <c:pt idx="18">
                  <c:v>Jul-16</c:v>
                </c:pt>
                <c:pt idx="19">
                  <c:v>Aug-16</c:v>
                </c:pt>
                <c:pt idx="20">
                  <c:v>Sep-16</c:v>
                </c:pt>
                <c:pt idx="21">
                  <c:v>Oct-16</c:v>
                </c:pt>
                <c:pt idx="22">
                  <c:v>Nov-16</c:v>
                </c:pt>
                <c:pt idx="23">
                  <c:v>Dec-16</c:v>
                </c:pt>
                <c:pt idx="24">
                  <c:v>Jan-17</c:v>
                </c:pt>
                <c:pt idx="25">
                  <c:v>Feb-17</c:v>
                </c:pt>
                <c:pt idx="26">
                  <c:v>Mar-17</c:v>
                </c:pt>
              </c:strCache>
            </c:strRef>
          </c:cat>
          <c:val>
            <c:numRef>
              <c:f>Sheet1!$AJ$6:$BJ$6</c:f>
              <c:numCache>
                <c:formatCode>0.00</c:formatCode>
                <c:ptCount val="27"/>
                <c:pt idx="0">
                  <c:v>17.25</c:v>
                </c:pt>
                <c:pt idx="1">
                  <c:v>17.21</c:v>
                </c:pt>
                <c:pt idx="2">
                  <c:v>17.82</c:v>
                </c:pt>
                <c:pt idx="3">
                  <c:v>17.82</c:v>
                </c:pt>
                <c:pt idx="4">
                  <c:v>18.02</c:v>
                </c:pt>
                <c:pt idx="5">
                  <c:v>18.170000000000005</c:v>
                </c:pt>
                <c:pt idx="6">
                  <c:v>17.959999999999987</c:v>
                </c:pt>
                <c:pt idx="7">
                  <c:v>18.489999999999963</c:v>
                </c:pt>
                <c:pt idx="8">
                  <c:v>18.36</c:v>
                </c:pt>
                <c:pt idx="9">
                  <c:v>19.279999999999987</c:v>
                </c:pt>
                <c:pt idx="10">
                  <c:v>20.23</c:v>
                </c:pt>
                <c:pt idx="11">
                  <c:v>20.759999999999987</c:v>
                </c:pt>
                <c:pt idx="12">
                  <c:v>21.49</c:v>
                </c:pt>
                <c:pt idx="13">
                  <c:v>22.03</c:v>
                </c:pt>
                <c:pt idx="14">
                  <c:v>22.130000000000027</c:v>
                </c:pt>
                <c:pt idx="15">
                  <c:v>22.459999999999987</c:v>
                </c:pt>
                <c:pt idx="16">
                  <c:v>22.66</c:v>
                </c:pt>
                <c:pt idx="17">
                  <c:v>22.91</c:v>
                </c:pt>
                <c:pt idx="18">
                  <c:v>23</c:v>
                </c:pt>
                <c:pt idx="19">
                  <c:v>22.82</c:v>
                </c:pt>
                <c:pt idx="20">
                  <c:v>22.57</c:v>
                </c:pt>
                <c:pt idx="21">
                  <c:v>22.59</c:v>
                </c:pt>
                <c:pt idx="22">
                  <c:v>22.630000000000027</c:v>
                </c:pt>
                <c:pt idx="23">
                  <c:v>22.51</c:v>
                </c:pt>
                <c:pt idx="24">
                  <c:v>22.479999999999986</c:v>
                </c:pt>
                <c:pt idx="25">
                  <c:v>22.58</c:v>
                </c:pt>
                <c:pt idx="26">
                  <c:v>22.5</c:v>
                </c:pt>
              </c:numCache>
            </c:numRef>
          </c:val>
          <c:smooth val="0"/>
        </c:ser>
        <c:dLbls>
          <c:showLegendKey val="0"/>
          <c:showVal val="0"/>
          <c:showCatName val="0"/>
          <c:showSerName val="0"/>
          <c:showPercent val="0"/>
          <c:showBubbleSize val="0"/>
        </c:dLbls>
        <c:marker val="1"/>
        <c:smooth val="0"/>
        <c:axId val="590005376"/>
        <c:axId val="590006912"/>
      </c:lineChart>
      <c:catAx>
        <c:axId val="590005376"/>
        <c:scaling>
          <c:orientation val="minMax"/>
        </c:scaling>
        <c:delete val="0"/>
        <c:axPos val="b"/>
        <c:numFmt formatCode="General" sourceLinked="0"/>
        <c:majorTickMark val="out"/>
        <c:minorTickMark val="none"/>
        <c:tickLblPos val="nextTo"/>
        <c:crossAx val="590006912"/>
        <c:crosses val="autoZero"/>
        <c:auto val="1"/>
        <c:lblAlgn val="ctr"/>
        <c:lblOffset val="100"/>
        <c:noMultiLvlLbl val="0"/>
      </c:catAx>
      <c:valAx>
        <c:axId val="590006912"/>
        <c:scaling>
          <c:orientation val="minMax"/>
        </c:scaling>
        <c:delete val="0"/>
        <c:axPos val="l"/>
        <c:majorGridlines/>
        <c:title>
          <c:tx>
            <c:rich>
              <a:bodyPr rot="-5400000" vert="horz"/>
              <a:lstStyle/>
              <a:p>
                <a:pPr>
                  <a:defRPr b="0"/>
                </a:pPr>
                <a:r>
                  <a:rPr lang="en-ZA" b="0"/>
                  <a:t>Rand</a:t>
                </a:r>
              </a:p>
            </c:rich>
          </c:tx>
          <c:overlay val="0"/>
        </c:title>
        <c:numFmt formatCode="0.00" sourceLinked="1"/>
        <c:majorTickMark val="out"/>
        <c:minorTickMark val="none"/>
        <c:tickLblPos val="nextTo"/>
        <c:crossAx val="590005376"/>
        <c:crosses val="autoZero"/>
        <c:crossBetween val="between"/>
      </c:valAx>
    </c:plotArea>
    <c:legend>
      <c:legendPos val="b"/>
      <c:overlay val="0"/>
    </c:legend>
    <c:plotVisOnly val="1"/>
    <c:dispBlanksAs val="gap"/>
    <c:showDLblsOverMax val="0"/>
  </c:chart>
  <c:spPr>
    <a:solidFill>
      <a:srgbClr val="9BBB59">
        <a:lumMod val="20000"/>
        <a:lumOff val="80000"/>
      </a:srgbClr>
    </a:solidFill>
  </c:spPr>
  <c:txPr>
    <a:bodyPr/>
    <a:lstStyle/>
    <a:p>
      <a:pPr>
        <a:defRPr>
          <a:latin typeface="Arial" pitchFamily="34" charset="0"/>
          <a:cs typeface="Arial"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Figure3!$A$17</c:f>
              <c:strCache>
                <c:ptCount val="1"/>
                <c:pt idx="0">
                  <c:v>2016/Q1</c:v>
                </c:pt>
              </c:strCache>
            </c:strRef>
          </c:tx>
          <c:spPr>
            <a:solidFill>
              <a:srgbClr val="D8A851"/>
            </a:solidFill>
          </c:spPr>
          <c:invertIfNegative val="0"/>
          <c:cat>
            <c:strRef>
              <c:f>Figure3!$B$4:$I$4</c:f>
              <c:strCache>
                <c:ptCount val="8"/>
                <c:pt idx="0">
                  <c:v>Total Grain</c:v>
                </c:pt>
                <c:pt idx="1">
                  <c:v>Wheat</c:v>
                </c:pt>
                <c:pt idx="2">
                  <c:v>Coarse Grains</c:v>
                </c:pt>
                <c:pt idx="3">
                  <c:v>Rice Milled</c:v>
                </c:pt>
                <c:pt idx="4">
                  <c:v>Cotton</c:v>
                </c:pt>
                <c:pt idx="5">
                  <c:v>Oilseeds</c:v>
                </c:pt>
                <c:pt idx="6">
                  <c:v>Oilmeals</c:v>
                </c:pt>
                <c:pt idx="7">
                  <c:v>Vegetable Oils</c:v>
                </c:pt>
              </c:strCache>
            </c:strRef>
          </c:cat>
          <c:val>
            <c:numRef>
              <c:f>Figure3!$B$17:$I$17</c:f>
              <c:numCache>
                <c:formatCode>0.00</c:formatCode>
                <c:ptCount val="8"/>
                <c:pt idx="0">
                  <c:v>3027.72</c:v>
                </c:pt>
                <c:pt idx="1">
                  <c:v>948.47</c:v>
                </c:pt>
                <c:pt idx="2">
                  <c:v>1538.6899999999998</c:v>
                </c:pt>
                <c:pt idx="3">
                  <c:v>573.89</c:v>
                </c:pt>
                <c:pt idx="4">
                  <c:v>213.19</c:v>
                </c:pt>
                <c:pt idx="5">
                  <c:v>618.16</c:v>
                </c:pt>
                <c:pt idx="6">
                  <c:v>322.33</c:v>
                </c:pt>
                <c:pt idx="7">
                  <c:v>197.96</c:v>
                </c:pt>
              </c:numCache>
            </c:numRef>
          </c:val>
        </c:ser>
        <c:ser>
          <c:idx val="1"/>
          <c:order val="1"/>
          <c:tx>
            <c:strRef>
              <c:f>Figure3!$A$21</c:f>
              <c:strCache>
                <c:ptCount val="1"/>
                <c:pt idx="0">
                  <c:v>2017/Q1</c:v>
                </c:pt>
              </c:strCache>
            </c:strRef>
          </c:tx>
          <c:spPr>
            <a:solidFill>
              <a:srgbClr val="005D28"/>
            </a:solidFill>
          </c:spPr>
          <c:invertIfNegative val="0"/>
          <c:cat>
            <c:strRef>
              <c:f>Figure3!$B$4:$I$4</c:f>
              <c:strCache>
                <c:ptCount val="8"/>
                <c:pt idx="0">
                  <c:v>Total Grain</c:v>
                </c:pt>
                <c:pt idx="1">
                  <c:v>Wheat</c:v>
                </c:pt>
                <c:pt idx="2">
                  <c:v>Coarse Grains</c:v>
                </c:pt>
                <c:pt idx="3">
                  <c:v>Rice Milled</c:v>
                </c:pt>
                <c:pt idx="4">
                  <c:v>Cotton</c:v>
                </c:pt>
                <c:pt idx="5">
                  <c:v>Oilseeds</c:v>
                </c:pt>
                <c:pt idx="6">
                  <c:v>Oilmeals</c:v>
                </c:pt>
                <c:pt idx="7">
                  <c:v>Vegetable Oils</c:v>
                </c:pt>
              </c:strCache>
            </c:strRef>
          </c:cat>
          <c:val>
            <c:numRef>
              <c:f>Figure3!$B$21:$I$21</c:f>
              <c:numCache>
                <c:formatCode>0.00</c:formatCode>
                <c:ptCount val="8"/>
                <c:pt idx="0">
                  <c:v>3166.4333333333389</c:v>
                </c:pt>
                <c:pt idx="1">
                  <c:v>991.18000000000052</c:v>
                </c:pt>
                <c:pt idx="2">
                  <c:v>1578.72</c:v>
                </c:pt>
                <c:pt idx="3">
                  <c:v>596.53333333333353</c:v>
                </c:pt>
                <c:pt idx="4">
                  <c:v>202.43</c:v>
                </c:pt>
                <c:pt idx="5">
                  <c:v>644.95666666666671</c:v>
                </c:pt>
                <c:pt idx="6">
                  <c:v>335.09</c:v>
                </c:pt>
                <c:pt idx="7">
                  <c:v>207.03666666666658</c:v>
                </c:pt>
              </c:numCache>
            </c:numRef>
          </c:val>
        </c:ser>
        <c:dLbls>
          <c:showLegendKey val="0"/>
          <c:showVal val="0"/>
          <c:showCatName val="0"/>
          <c:showSerName val="0"/>
          <c:showPercent val="0"/>
          <c:showBubbleSize val="0"/>
        </c:dLbls>
        <c:gapWidth val="150"/>
        <c:axId val="551931904"/>
        <c:axId val="551933440"/>
      </c:barChart>
      <c:catAx>
        <c:axId val="55193190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51933440"/>
        <c:crosses val="autoZero"/>
        <c:auto val="1"/>
        <c:lblAlgn val="ctr"/>
        <c:lblOffset val="100"/>
        <c:noMultiLvlLbl val="0"/>
      </c:catAx>
      <c:valAx>
        <c:axId val="551933440"/>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ZA"/>
                  <a:t>Million Metric Tons</a:t>
                </a:r>
              </a:p>
            </c:rich>
          </c:tx>
          <c:overlay val="0"/>
        </c:title>
        <c:numFmt formatCode="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51931904"/>
        <c:crosses val="autoZero"/>
        <c:crossBetween val="between"/>
      </c:valAx>
    </c:plotArea>
    <c:legend>
      <c:legendPos val="b"/>
      <c:overlay val="0"/>
      <c:txPr>
        <a:bodyPr/>
        <a:lstStyle/>
        <a:p>
          <a:pPr>
            <a:defRPr sz="845"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chemeClr val="accent3">
        <a:lumMod val="40000"/>
        <a:lumOff val="60000"/>
      </a:schemeClr>
    </a:solidFill>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Groundnuts!$A$52</c:f>
              <c:strCache>
                <c:ptCount val="1"/>
                <c:pt idx="0">
                  <c:v>Imports </c:v>
                </c:pt>
              </c:strCache>
            </c:strRef>
          </c:tx>
          <c:spPr>
            <a:solidFill>
              <a:srgbClr val="005D28"/>
            </a:solidFill>
            <a:scene3d>
              <a:camera prst="orthographicFront"/>
              <a:lightRig rig="threePt" dir="t"/>
            </a:scene3d>
            <a:sp3d>
              <a:bevelT/>
            </a:sp3d>
          </c:spPr>
          <c:invertIfNegative val="0"/>
          <c:cat>
            <c:strRef>
              <c:f>Groundnuts!$B$51:$J$51</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Groundnuts!$B$52:$J$52</c:f>
              <c:numCache>
                <c:formatCode>General</c:formatCode>
                <c:ptCount val="9"/>
                <c:pt idx="0" formatCode="#,##0">
                  <c:v>1136</c:v>
                </c:pt>
                <c:pt idx="1">
                  <c:v>2185</c:v>
                </c:pt>
                <c:pt idx="2" formatCode="#,##0">
                  <c:v>2329</c:v>
                </c:pt>
                <c:pt idx="3">
                  <c:v>5274</c:v>
                </c:pt>
                <c:pt idx="4">
                  <c:v>7518</c:v>
                </c:pt>
                <c:pt idx="5">
                  <c:v>10384</c:v>
                </c:pt>
                <c:pt idx="6">
                  <c:v>11458</c:v>
                </c:pt>
                <c:pt idx="7" formatCode="#,##0">
                  <c:v>17206</c:v>
                </c:pt>
                <c:pt idx="8" formatCode="#,##0">
                  <c:v>14196</c:v>
                </c:pt>
              </c:numCache>
            </c:numRef>
          </c:val>
        </c:ser>
        <c:ser>
          <c:idx val="1"/>
          <c:order val="1"/>
          <c:tx>
            <c:strRef>
              <c:f>Groundnuts!$A$53</c:f>
              <c:strCache>
                <c:ptCount val="1"/>
                <c:pt idx="0">
                  <c:v>Exports </c:v>
                </c:pt>
              </c:strCache>
            </c:strRef>
          </c:tx>
          <c:spPr>
            <a:solidFill>
              <a:srgbClr val="D8A851"/>
            </a:solidFill>
            <a:scene3d>
              <a:camera prst="orthographicFront"/>
              <a:lightRig rig="threePt" dir="t"/>
            </a:scene3d>
            <a:sp3d>
              <a:bevelT/>
            </a:sp3d>
          </c:spPr>
          <c:invertIfNegative val="0"/>
          <c:cat>
            <c:strRef>
              <c:f>Groundnuts!$B$51:$J$51</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Groundnuts!$B$53:$J$53</c:f>
              <c:numCache>
                <c:formatCode>General</c:formatCode>
                <c:ptCount val="9"/>
                <c:pt idx="0" formatCode="#,##0">
                  <c:v>4134</c:v>
                </c:pt>
                <c:pt idx="1">
                  <c:v>2021</c:v>
                </c:pt>
                <c:pt idx="2" formatCode="#,##0">
                  <c:v>4922</c:v>
                </c:pt>
                <c:pt idx="3">
                  <c:v>4507</c:v>
                </c:pt>
                <c:pt idx="4">
                  <c:v>4263</c:v>
                </c:pt>
                <c:pt idx="5">
                  <c:v>1946</c:v>
                </c:pt>
                <c:pt idx="6">
                  <c:v>3668</c:v>
                </c:pt>
                <c:pt idx="7" formatCode="#,##0">
                  <c:v>1095</c:v>
                </c:pt>
                <c:pt idx="8" formatCode="#,##0">
                  <c:v>565</c:v>
                </c:pt>
              </c:numCache>
            </c:numRef>
          </c:val>
        </c:ser>
        <c:dLbls>
          <c:showLegendKey val="0"/>
          <c:showVal val="0"/>
          <c:showCatName val="0"/>
          <c:showSerName val="0"/>
          <c:showPercent val="0"/>
          <c:showBubbleSize val="0"/>
        </c:dLbls>
        <c:gapWidth val="150"/>
        <c:axId val="590022912"/>
        <c:axId val="590024704"/>
      </c:barChart>
      <c:catAx>
        <c:axId val="590022912"/>
        <c:scaling>
          <c:orientation val="minMax"/>
        </c:scaling>
        <c:delete val="0"/>
        <c:axPos val="b"/>
        <c:numFmt formatCode="General" sourceLinked="0"/>
        <c:majorTickMark val="out"/>
        <c:minorTickMark val="none"/>
        <c:tickLblPos val="nextTo"/>
        <c:crossAx val="590024704"/>
        <c:crosses val="autoZero"/>
        <c:auto val="1"/>
        <c:lblAlgn val="ctr"/>
        <c:lblOffset val="100"/>
        <c:noMultiLvlLbl val="0"/>
      </c:catAx>
      <c:valAx>
        <c:axId val="590024704"/>
        <c:scaling>
          <c:orientation val="minMax"/>
        </c:scaling>
        <c:delete val="0"/>
        <c:axPos val="l"/>
        <c:majorGridlines/>
        <c:title>
          <c:tx>
            <c:rich>
              <a:bodyPr rot="-5400000" vert="horz"/>
              <a:lstStyle/>
              <a:p>
                <a:pPr>
                  <a:defRPr b="0"/>
                </a:pPr>
                <a:r>
                  <a:rPr lang="en-ZA" b="0"/>
                  <a:t>Tons</a:t>
                </a:r>
              </a:p>
            </c:rich>
          </c:tx>
          <c:layout>
            <c:manualLayout>
              <c:xMode val="edge"/>
              <c:yMode val="edge"/>
              <c:x val="2.2222222222222251E-2"/>
              <c:y val="0.2730092592592599"/>
            </c:manualLayout>
          </c:layout>
          <c:overlay val="0"/>
        </c:title>
        <c:numFmt formatCode="#,##0" sourceLinked="1"/>
        <c:majorTickMark val="out"/>
        <c:minorTickMark val="none"/>
        <c:tickLblPos val="nextTo"/>
        <c:crossAx val="590022912"/>
        <c:crosses val="autoZero"/>
        <c:crossBetween val="between"/>
      </c:valAx>
    </c:plotArea>
    <c:legend>
      <c:legendPos val="b"/>
      <c:overlay val="0"/>
    </c:legend>
    <c:plotVisOnly val="1"/>
    <c:dispBlanksAs val="gap"/>
    <c:showDLblsOverMax val="0"/>
  </c:chart>
  <c:spPr>
    <a:solidFill>
      <a:schemeClr val="accent3">
        <a:lumMod val="20000"/>
        <a:lumOff val="80000"/>
      </a:schemeClr>
    </a:solidFill>
  </c:spPr>
  <c:txPr>
    <a:bodyPr/>
    <a:lstStyle/>
    <a:p>
      <a:pPr>
        <a:defRPr>
          <a:latin typeface="Arial" pitchFamily="34" charset="0"/>
          <a:cs typeface="Arial"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Word]Graph'!$A$36</c:f>
              <c:strCache>
                <c:ptCount val="1"/>
                <c:pt idx="0">
                  <c:v>Production</c:v>
                </c:pt>
              </c:strCache>
            </c:strRef>
          </c:tx>
          <c:spPr>
            <a:solidFill>
              <a:srgbClr val="D8A851"/>
            </a:solidFill>
          </c:spPr>
          <c:invertIfNegative val="0"/>
          <c:cat>
            <c:numRef>
              <c:f>'[Chart in Microsoft Word]Graph'!$B$35:$E$35</c:f>
              <c:numCache>
                <c:formatCode>General</c:formatCode>
                <c:ptCount val="4"/>
                <c:pt idx="0">
                  <c:v>2014</c:v>
                </c:pt>
                <c:pt idx="1">
                  <c:v>2015</c:v>
                </c:pt>
                <c:pt idx="2">
                  <c:v>2016</c:v>
                </c:pt>
                <c:pt idx="3" formatCode="#,##0">
                  <c:v>2017</c:v>
                </c:pt>
              </c:numCache>
            </c:numRef>
          </c:cat>
          <c:val>
            <c:numRef>
              <c:f>'[Chart in Microsoft Word]Graph'!$B$36:$E$36</c:f>
              <c:numCache>
                <c:formatCode>#,##0</c:formatCode>
                <c:ptCount val="4"/>
                <c:pt idx="0">
                  <c:v>90.343000000000004</c:v>
                </c:pt>
                <c:pt idx="1">
                  <c:v>80.728999999999999</c:v>
                </c:pt>
                <c:pt idx="2">
                  <c:v>38.99</c:v>
                </c:pt>
                <c:pt idx="3">
                  <c:v>74</c:v>
                </c:pt>
              </c:numCache>
            </c:numRef>
          </c:val>
        </c:ser>
        <c:ser>
          <c:idx val="1"/>
          <c:order val="1"/>
          <c:tx>
            <c:strRef>
              <c:f>'[Chart in Microsoft Word]Graph'!$A$37</c:f>
              <c:strCache>
                <c:ptCount val="1"/>
                <c:pt idx="0">
                  <c:v>Stocks</c:v>
                </c:pt>
              </c:strCache>
            </c:strRef>
          </c:tx>
          <c:invertIfNegative val="0"/>
          <c:cat>
            <c:numRef>
              <c:f>'[Chart in Microsoft Word]Graph'!$B$35:$E$35</c:f>
              <c:numCache>
                <c:formatCode>General</c:formatCode>
                <c:ptCount val="4"/>
                <c:pt idx="0">
                  <c:v>2014</c:v>
                </c:pt>
                <c:pt idx="1">
                  <c:v>2015</c:v>
                </c:pt>
                <c:pt idx="2">
                  <c:v>2016</c:v>
                </c:pt>
                <c:pt idx="3" formatCode="#,##0">
                  <c:v>2017</c:v>
                </c:pt>
              </c:numCache>
            </c:numRef>
          </c:cat>
          <c:val>
            <c:numRef>
              <c:f>'[Chart in Microsoft Word]Graph'!$B$37:$E$37</c:f>
              <c:numCache>
                <c:formatCode>#,##0</c:formatCode>
                <c:ptCount val="4"/>
                <c:pt idx="0">
                  <c:v>0.5</c:v>
                </c:pt>
                <c:pt idx="1">
                  <c:v>0.5</c:v>
                </c:pt>
                <c:pt idx="2">
                  <c:v>0.5</c:v>
                </c:pt>
                <c:pt idx="3">
                  <c:v>1</c:v>
                </c:pt>
              </c:numCache>
            </c:numRef>
          </c:val>
        </c:ser>
        <c:ser>
          <c:idx val="2"/>
          <c:order val="2"/>
          <c:tx>
            <c:strRef>
              <c:f>'[Chart in Microsoft Word]Graph'!$A$38</c:f>
              <c:strCache>
                <c:ptCount val="1"/>
                <c:pt idx="0">
                  <c:v>Imports</c:v>
                </c:pt>
              </c:strCache>
            </c:strRef>
          </c:tx>
          <c:invertIfNegative val="0"/>
          <c:cat>
            <c:numRef>
              <c:f>'[Chart in Microsoft Word]Graph'!$B$35:$E$35</c:f>
              <c:numCache>
                <c:formatCode>General</c:formatCode>
                <c:ptCount val="4"/>
                <c:pt idx="0">
                  <c:v>2014</c:v>
                </c:pt>
                <c:pt idx="1">
                  <c:v>2015</c:v>
                </c:pt>
                <c:pt idx="2">
                  <c:v>2016</c:v>
                </c:pt>
                <c:pt idx="3" formatCode="#,##0">
                  <c:v>2017</c:v>
                </c:pt>
              </c:numCache>
            </c:numRef>
          </c:cat>
          <c:val>
            <c:numRef>
              <c:f>'[Chart in Microsoft Word]Graph'!$B$38:$E$38</c:f>
              <c:numCache>
                <c:formatCode>#,##0</c:formatCode>
                <c:ptCount val="4"/>
                <c:pt idx="0">
                  <c:v>74.981999999999999</c:v>
                </c:pt>
                <c:pt idx="1">
                  <c:v>64.91</c:v>
                </c:pt>
                <c:pt idx="2">
                  <c:v>61.829000000000001</c:v>
                </c:pt>
                <c:pt idx="3">
                  <c:v>65</c:v>
                </c:pt>
              </c:numCache>
            </c:numRef>
          </c:val>
        </c:ser>
        <c:ser>
          <c:idx val="3"/>
          <c:order val="3"/>
          <c:tx>
            <c:strRef>
              <c:f>'[Chart in Microsoft Word]Graph'!$A$39</c:f>
              <c:strCache>
                <c:ptCount val="1"/>
                <c:pt idx="0">
                  <c:v>Exports</c:v>
                </c:pt>
              </c:strCache>
            </c:strRef>
          </c:tx>
          <c:invertIfNegative val="0"/>
          <c:cat>
            <c:numRef>
              <c:f>'[Chart in Microsoft Word]Graph'!$B$35:$E$35</c:f>
              <c:numCache>
                <c:formatCode>General</c:formatCode>
                <c:ptCount val="4"/>
                <c:pt idx="0">
                  <c:v>2014</c:v>
                </c:pt>
                <c:pt idx="1">
                  <c:v>2015</c:v>
                </c:pt>
                <c:pt idx="2">
                  <c:v>2016</c:v>
                </c:pt>
                <c:pt idx="3" formatCode="#,##0">
                  <c:v>2017</c:v>
                </c:pt>
              </c:numCache>
            </c:numRef>
          </c:cat>
          <c:val>
            <c:numRef>
              <c:f>'[Chart in Microsoft Word]Graph'!$B$39:$E$39</c:f>
              <c:numCache>
                <c:formatCode>#,##0</c:formatCode>
                <c:ptCount val="4"/>
                <c:pt idx="0">
                  <c:v>2.0337260000000001</c:v>
                </c:pt>
                <c:pt idx="1">
                  <c:v>2.5154160000000001</c:v>
                </c:pt>
                <c:pt idx="2">
                  <c:v>6.741428</c:v>
                </c:pt>
                <c:pt idx="3">
                  <c:v>3</c:v>
                </c:pt>
              </c:numCache>
            </c:numRef>
          </c:val>
        </c:ser>
        <c:dLbls>
          <c:showLegendKey val="0"/>
          <c:showVal val="0"/>
          <c:showCatName val="0"/>
          <c:showSerName val="0"/>
          <c:showPercent val="0"/>
          <c:showBubbleSize val="0"/>
        </c:dLbls>
        <c:gapWidth val="150"/>
        <c:axId val="590063872"/>
        <c:axId val="590069760"/>
      </c:barChart>
      <c:catAx>
        <c:axId val="590063872"/>
        <c:scaling>
          <c:orientation val="minMax"/>
        </c:scaling>
        <c:delete val="0"/>
        <c:axPos val="b"/>
        <c:numFmt formatCode="General" sourceLinked="1"/>
        <c:majorTickMark val="out"/>
        <c:minorTickMark val="none"/>
        <c:tickLblPos val="nextTo"/>
        <c:crossAx val="590069760"/>
        <c:crosses val="autoZero"/>
        <c:auto val="1"/>
        <c:lblAlgn val="ctr"/>
        <c:lblOffset val="100"/>
        <c:noMultiLvlLbl val="0"/>
      </c:catAx>
      <c:valAx>
        <c:axId val="590069760"/>
        <c:scaling>
          <c:orientation val="minMax"/>
        </c:scaling>
        <c:delete val="0"/>
        <c:axPos val="l"/>
        <c:majorGridlines/>
        <c:title>
          <c:tx>
            <c:rich>
              <a:bodyPr rot="-5400000" vert="horz"/>
              <a:lstStyle/>
              <a:p>
                <a:pPr>
                  <a:defRPr/>
                </a:pPr>
                <a:r>
                  <a:rPr lang="en-ZA"/>
                  <a:t>Tons</a:t>
                </a:r>
              </a:p>
            </c:rich>
          </c:tx>
          <c:overlay val="0"/>
        </c:title>
        <c:numFmt formatCode="#,##0" sourceLinked="1"/>
        <c:majorTickMark val="out"/>
        <c:minorTickMark val="none"/>
        <c:tickLblPos val="nextTo"/>
        <c:crossAx val="590063872"/>
        <c:crosses val="autoZero"/>
        <c:crossBetween val="between"/>
      </c:valAx>
    </c:plotArea>
    <c:legend>
      <c:legendPos val="b"/>
      <c:overlay val="0"/>
    </c:legend>
    <c:plotVisOnly val="1"/>
    <c:dispBlanksAs val="gap"/>
    <c:showDLblsOverMax val="0"/>
  </c:chart>
  <c:spPr>
    <a:solidFill>
      <a:srgbClr val="9BBB59">
        <a:lumMod val="20000"/>
        <a:lumOff val="80000"/>
      </a:srgbClr>
    </a:solidFill>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25240594925633"/>
          <c:y val="5.6030183727034118E-2"/>
          <c:w val="0.80319203849518805"/>
          <c:h val="0.82798993875765525"/>
        </c:manualLayout>
      </c:layout>
      <c:barChart>
        <c:barDir val="col"/>
        <c:grouping val="clustered"/>
        <c:varyColors val="0"/>
        <c:ser>
          <c:idx val="0"/>
          <c:order val="0"/>
          <c:spPr>
            <a:solidFill>
              <a:srgbClr val="D8A851"/>
            </a:solidFill>
          </c:spPr>
          <c:invertIfNegative val="0"/>
          <c:cat>
            <c:strRef>
              <c:f>Graph!$A$28:$K$28</c:f>
              <c:strCache>
                <c:ptCount val="11"/>
                <c:pt idx="0">
                  <c:v>2007</c:v>
                </c:pt>
                <c:pt idx="1">
                  <c:v>2008</c:v>
                </c:pt>
                <c:pt idx="2">
                  <c:v>2009</c:v>
                </c:pt>
                <c:pt idx="3">
                  <c:v>2010</c:v>
                </c:pt>
                <c:pt idx="4">
                  <c:v>2011</c:v>
                </c:pt>
                <c:pt idx="5">
                  <c:v>2012</c:v>
                </c:pt>
                <c:pt idx="6">
                  <c:v>2013</c:v>
                </c:pt>
                <c:pt idx="7">
                  <c:v>2014</c:v>
                </c:pt>
                <c:pt idx="8">
                  <c:v>2015</c:v>
                </c:pt>
                <c:pt idx="9">
                  <c:v>2016</c:v>
                </c:pt>
                <c:pt idx="10">
                  <c:v>2017</c:v>
                </c:pt>
              </c:strCache>
            </c:strRef>
          </c:cat>
          <c:val>
            <c:numRef>
              <c:f>Graph!$A$29:$K$29</c:f>
              <c:numCache>
                <c:formatCode>##\ ###\ ###</c:formatCode>
                <c:ptCount val="11"/>
                <c:pt idx="0">
                  <c:v>50725</c:v>
                </c:pt>
                <c:pt idx="1">
                  <c:v>43800</c:v>
                </c:pt>
                <c:pt idx="2">
                  <c:v>43800</c:v>
                </c:pt>
                <c:pt idx="3">
                  <c:v>44100</c:v>
                </c:pt>
                <c:pt idx="4">
                  <c:v>41900</c:v>
                </c:pt>
                <c:pt idx="5">
                  <c:v>39750</c:v>
                </c:pt>
                <c:pt idx="6">
                  <c:v>43550</c:v>
                </c:pt>
                <c:pt idx="7">
                  <c:v>55820</c:v>
                </c:pt>
                <c:pt idx="8">
                  <c:v>64000</c:v>
                </c:pt>
                <c:pt idx="9">
                  <c:v>34400</c:v>
                </c:pt>
                <c:pt idx="10">
                  <c:v>45000</c:v>
                </c:pt>
              </c:numCache>
            </c:numRef>
          </c:val>
        </c:ser>
        <c:dLbls>
          <c:showLegendKey val="0"/>
          <c:showVal val="0"/>
          <c:showCatName val="0"/>
          <c:showSerName val="0"/>
          <c:showPercent val="0"/>
          <c:showBubbleSize val="0"/>
        </c:dLbls>
        <c:gapWidth val="150"/>
        <c:axId val="557584384"/>
        <c:axId val="557585920"/>
      </c:barChart>
      <c:catAx>
        <c:axId val="557584384"/>
        <c:scaling>
          <c:orientation val="minMax"/>
        </c:scaling>
        <c:delete val="0"/>
        <c:axPos val="b"/>
        <c:majorTickMark val="out"/>
        <c:minorTickMark val="none"/>
        <c:tickLblPos val="nextTo"/>
        <c:crossAx val="557585920"/>
        <c:crosses val="autoZero"/>
        <c:auto val="1"/>
        <c:lblAlgn val="ctr"/>
        <c:lblOffset val="100"/>
        <c:noMultiLvlLbl val="0"/>
      </c:catAx>
      <c:valAx>
        <c:axId val="557585920"/>
        <c:scaling>
          <c:orientation val="minMax"/>
        </c:scaling>
        <c:delete val="0"/>
        <c:axPos val="l"/>
        <c:majorGridlines/>
        <c:title>
          <c:tx>
            <c:rich>
              <a:bodyPr rot="-5400000" vert="horz"/>
              <a:lstStyle/>
              <a:p>
                <a:pPr>
                  <a:defRPr/>
                </a:pPr>
                <a:r>
                  <a:rPr lang="en-ZA"/>
                  <a:t>Ha</a:t>
                </a:r>
              </a:p>
            </c:rich>
          </c:tx>
          <c:layout>
            <c:manualLayout>
              <c:xMode val="edge"/>
              <c:yMode val="edge"/>
              <c:x val="5.5555555555555558E-3"/>
              <c:y val="0.38502515310586177"/>
            </c:manualLayout>
          </c:layout>
          <c:overlay val="0"/>
        </c:title>
        <c:numFmt formatCode="##\ ###\ ###" sourceLinked="1"/>
        <c:majorTickMark val="out"/>
        <c:minorTickMark val="none"/>
        <c:tickLblPos val="nextTo"/>
        <c:crossAx val="557584384"/>
        <c:crosses val="autoZero"/>
        <c:crossBetween val="between"/>
      </c:valAx>
    </c:plotArea>
    <c:plotVisOnly val="1"/>
    <c:dispBlanksAs val="gap"/>
    <c:showDLblsOverMax val="0"/>
  </c:chart>
  <c:spPr>
    <a:solidFill>
      <a:srgbClr val="9BBB59">
        <a:lumMod val="20000"/>
        <a:lumOff val="80000"/>
      </a:srgbClr>
    </a:solidFill>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14129483814523"/>
          <c:y val="2.6747839951958667E-2"/>
          <c:w val="0.79898315835520561"/>
          <c:h val="0.74948861175390546"/>
        </c:manualLayout>
      </c:layout>
      <c:lineChart>
        <c:grouping val="standard"/>
        <c:varyColors val="0"/>
        <c:ser>
          <c:idx val="0"/>
          <c:order val="0"/>
          <c:tx>
            <c:strRef>
              <c:f>'[Chart in Microsoft Word]Analysis'!$T$5</c:f>
              <c:strCache>
                <c:ptCount val="1"/>
                <c:pt idx="0">
                  <c:v>Apples</c:v>
                </c:pt>
              </c:strCache>
            </c:strRef>
          </c:tx>
          <c:marker>
            <c:symbol val="none"/>
          </c:marker>
          <c:cat>
            <c:strRef>
              <c:f>'[Chart in Microsoft Word]Analysis'!$V$4:$Z$4</c:f>
              <c:strCache>
                <c:ptCount val="5"/>
                <c:pt idx="0">
                  <c:v>Q1 2016</c:v>
                </c:pt>
                <c:pt idx="1">
                  <c:v>Q2 2016</c:v>
                </c:pt>
                <c:pt idx="2">
                  <c:v>Q3 2016</c:v>
                </c:pt>
                <c:pt idx="3">
                  <c:v>Q4 2016</c:v>
                </c:pt>
                <c:pt idx="4">
                  <c:v>Q1 2017</c:v>
                </c:pt>
              </c:strCache>
            </c:strRef>
          </c:cat>
          <c:val>
            <c:numRef>
              <c:f>'[Chart in Microsoft Word]Analysis'!$V$5:$Z$5</c:f>
              <c:numCache>
                <c:formatCode>General</c:formatCode>
                <c:ptCount val="5"/>
                <c:pt idx="0">
                  <c:v>7095</c:v>
                </c:pt>
                <c:pt idx="1">
                  <c:v>6043</c:v>
                </c:pt>
                <c:pt idx="2">
                  <c:v>6480</c:v>
                </c:pt>
                <c:pt idx="3">
                  <c:v>6692</c:v>
                </c:pt>
                <c:pt idx="4">
                  <c:v>6985</c:v>
                </c:pt>
              </c:numCache>
            </c:numRef>
          </c:val>
          <c:smooth val="0"/>
        </c:ser>
        <c:ser>
          <c:idx val="1"/>
          <c:order val="1"/>
          <c:tx>
            <c:strRef>
              <c:f>'[Chart in Microsoft Word]Analysis'!$T$6</c:f>
              <c:strCache>
                <c:ptCount val="1"/>
                <c:pt idx="0">
                  <c:v>Avocados</c:v>
                </c:pt>
              </c:strCache>
            </c:strRef>
          </c:tx>
          <c:marker>
            <c:symbol val="none"/>
          </c:marker>
          <c:cat>
            <c:strRef>
              <c:f>'[Chart in Microsoft Word]Analysis'!$V$4:$Z$4</c:f>
              <c:strCache>
                <c:ptCount val="5"/>
                <c:pt idx="0">
                  <c:v>Q1 2016</c:v>
                </c:pt>
                <c:pt idx="1">
                  <c:v>Q2 2016</c:v>
                </c:pt>
                <c:pt idx="2">
                  <c:v>Q3 2016</c:v>
                </c:pt>
                <c:pt idx="3">
                  <c:v>Q4 2016</c:v>
                </c:pt>
                <c:pt idx="4">
                  <c:v>Q1 2017</c:v>
                </c:pt>
              </c:strCache>
            </c:strRef>
          </c:cat>
          <c:val>
            <c:numRef>
              <c:f>'[Chart in Microsoft Word]Analysis'!$V$6:$Z$6</c:f>
              <c:numCache>
                <c:formatCode>General</c:formatCode>
                <c:ptCount val="5"/>
                <c:pt idx="0">
                  <c:v>11830</c:v>
                </c:pt>
                <c:pt idx="1">
                  <c:v>8669</c:v>
                </c:pt>
                <c:pt idx="2">
                  <c:v>9062</c:v>
                </c:pt>
                <c:pt idx="3">
                  <c:v>11691</c:v>
                </c:pt>
                <c:pt idx="4">
                  <c:v>11882</c:v>
                </c:pt>
              </c:numCache>
            </c:numRef>
          </c:val>
          <c:smooth val="0"/>
        </c:ser>
        <c:ser>
          <c:idx val="2"/>
          <c:order val="2"/>
          <c:tx>
            <c:strRef>
              <c:f>'[Chart in Microsoft Word]Analysis'!$T$7</c:f>
              <c:strCache>
                <c:ptCount val="1"/>
                <c:pt idx="0">
                  <c:v>Bananas</c:v>
                </c:pt>
              </c:strCache>
            </c:strRef>
          </c:tx>
          <c:marker>
            <c:symbol val="none"/>
          </c:marker>
          <c:cat>
            <c:strRef>
              <c:f>'[Chart in Microsoft Word]Analysis'!$V$4:$Z$4</c:f>
              <c:strCache>
                <c:ptCount val="5"/>
                <c:pt idx="0">
                  <c:v>Q1 2016</c:v>
                </c:pt>
                <c:pt idx="1">
                  <c:v>Q2 2016</c:v>
                </c:pt>
                <c:pt idx="2">
                  <c:v>Q3 2016</c:v>
                </c:pt>
                <c:pt idx="3">
                  <c:v>Q4 2016</c:v>
                </c:pt>
                <c:pt idx="4">
                  <c:v>Q1 2017</c:v>
                </c:pt>
              </c:strCache>
            </c:strRef>
          </c:cat>
          <c:val>
            <c:numRef>
              <c:f>'[Chart in Microsoft Word]Analysis'!$V$7:$Z$7</c:f>
              <c:numCache>
                <c:formatCode>General</c:formatCode>
                <c:ptCount val="5"/>
                <c:pt idx="0">
                  <c:v>6463</c:v>
                </c:pt>
                <c:pt idx="1">
                  <c:v>6572</c:v>
                </c:pt>
                <c:pt idx="2">
                  <c:v>7295</c:v>
                </c:pt>
                <c:pt idx="3">
                  <c:v>7769</c:v>
                </c:pt>
                <c:pt idx="4">
                  <c:v>7558</c:v>
                </c:pt>
              </c:numCache>
            </c:numRef>
          </c:val>
          <c:smooth val="0"/>
        </c:ser>
        <c:ser>
          <c:idx val="3"/>
          <c:order val="3"/>
          <c:tx>
            <c:strRef>
              <c:f>'[Chart in Microsoft Word]Analysis'!$T$8</c:f>
              <c:strCache>
                <c:ptCount val="1"/>
                <c:pt idx="0">
                  <c:v>Oranges</c:v>
                </c:pt>
              </c:strCache>
            </c:strRef>
          </c:tx>
          <c:marker>
            <c:symbol val="none"/>
          </c:marker>
          <c:cat>
            <c:strRef>
              <c:f>'[Chart in Microsoft Word]Analysis'!$V$4:$Z$4</c:f>
              <c:strCache>
                <c:ptCount val="5"/>
                <c:pt idx="0">
                  <c:v>Q1 2016</c:v>
                </c:pt>
                <c:pt idx="1">
                  <c:v>Q2 2016</c:v>
                </c:pt>
                <c:pt idx="2">
                  <c:v>Q3 2016</c:v>
                </c:pt>
                <c:pt idx="3">
                  <c:v>Q4 2016</c:v>
                </c:pt>
                <c:pt idx="4">
                  <c:v>Q1 2017</c:v>
                </c:pt>
              </c:strCache>
            </c:strRef>
          </c:cat>
          <c:val>
            <c:numRef>
              <c:f>'[Chart in Microsoft Word]Analysis'!$V$8:$Z$8</c:f>
              <c:numCache>
                <c:formatCode>General</c:formatCode>
                <c:ptCount val="5"/>
                <c:pt idx="0">
                  <c:v>6101</c:v>
                </c:pt>
                <c:pt idx="1">
                  <c:v>3337</c:v>
                </c:pt>
                <c:pt idx="2">
                  <c:v>3666</c:v>
                </c:pt>
                <c:pt idx="3">
                  <c:v>6702</c:v>
                </c:pt>
                <c:pt idx="4">
                  <c:v>7326</c:v>
                </c:pt>
              </c:numCache>
            </c:numRef>
          </c:val>
          <c:smooth val="0"/>
        </c:ser>
        <c:ser>
          <c:idx val="4"/>
          <c:order val="4"/>
          <c:tx>
            <c:strRef>
              <c:f>'[Chart in Microsoft Word]Analysis'!$T$9</c:f>
              <c:strCache>
                <c:ptCount val="1"/>
                <c:pt idx="0">
                  <c:v>Pears</c:v>
                </c:pt>
              </c:strCache>
            </c:strRef>
          </c:tx>
          <c:marker>
            <c:symbol val="none"/>
          </c:marker>
          <c:cat>
            <c:strRef>
              <c:f>'[Chart in Microsoft Word]Analysis'!$V$4:$Z$4</c:f>
              <c:strCache>
                <c:ptCount val="5"/>
                <c:pt idx="0">
                  <c:v>Q1 2016</c:v>
                </c:pt>
                <c:pt idx="1">
                  <c:v>Q2 2016</c:v>
                </c:pt>
                <c:pt idx="2">
                  <c:v>Q3 2016</c:v>
                </c:pt>
                <c:pt idx="3">
                  <c:v>Q4 2016</c:v>
                </c:pt>
                <c:pt idx="4">
                  <c:v>Q1 2017</c:v>
                </c:pt>
              </c:strCache>
            </c:strRef>
          </c:cat>
          <c:val>
            <c:numRef>
              <c:f>'[Chart in Microsoft Word]Analysis'!$V$9:$Z$9</c:f>
              <c:numCache>
                <c:formatCode>General</c:formatCode>
                <c:ptCount val="5"/>
                <c:pt idx="0">
                  <c:v>5851</c:v>
                </c:pt>
                <c:pt idx="1">
                  <c:v>6071</c:v>
                </c:pt>
                <c:pt idx="2">
                  <c:v>6637</c:v>
                </c:pt>
                <c:pt idx="3">
                  <c:v>9253</c:v>
                </c:pt>
                <c:pt idx="4">
                  <c:v>6023</c:v>
                </c:pt>
              </c:numCache>
            </c:numRef>
          </c:val>
          <c:smooth val="0"/>
        </c:ser>
        <c:ser>
          <c:idx val="5"/>
          <c:order val="5"/>
          <c:tx>
            <c:strRef>
              <c:f>'[Chart in Microsoft Word]Analysis'!$T$10</c:f>
              <c:strCache>
                <c:ptCount val="1"/>
                <c:pt idx="0">
                  <c:v>Mangoes</c:v>
                </c:pt>
              </c:strCache>
            </c:strRef>
          </c:tx>
          <c:marker>
            <c:symbol val="none"/>
          </c:marker>
          <c:cat>
            <c:strRef>
              <c:f>'[Chart in Microsoft Word]Analysis'!$V$4:$Z$4</c:f>
              <c:strCache>
                <c:ptCount val="5"/>
                <c:pt idx="0">
                  <c:v>Q1 2016</c:v>
                </c:pt>
                <c:pt idx="1">
                  <c:v>Q2 2016</c:v>
                </c:pt>
                <c:pt idx="2">
                  <c:v>Q3 2016</c:v>
                </c:pt>
                <c:pt idx="3">
                  <c:v>Q4 2016</c:v>
                </c:pt>
                <c:pt idx="4">
                  <c:v>Q1 2017</c:v>
                </c:pt>
              </c:strCache>
            </c:strRef>
          </c:cat>
          <c:val>
            <c:numRef>
              <c:f>'[Chart in Microsoft Word]Analysis'!$V$10:$Z$10</c:f>
              <c:numCache>
                <c:formatCode>General</c:formatCode>
                <c:ptCount val="5"/>
                <c:pt idx="0">
                  <c:v>10193</c:v>
                </c:pt>
                <c:pt idx="1">
                  <c:v>12164</c:v>
                </c:pt>
                <c:pt idx="2">
                  <c:v>13011</c:v>
                </c:pt>
                <c:pt idx="3">
                  <c:v>7972</c:v>
                </c:pt>
                <c:pt idx="4">
                  <c:v>11232</c:v>
                </c:pt>
              </c:numCache>
            </c:numRef>
          </c:val>
          <c:smooth val="0"/>
        </c:ser>
        <c:ser>
          <c:idx val="6"/>
          <c:order val="6"/>
          <c:tx>
            <c:strRef>
              <c:f>'[Chart in Microsoft Word]Analysis'!$T$11</c:f>
              <c:strCache>
                <c:ptCount val="1"/>
                <c:pt idx="0">
                  <c:v>Grapes</c:v>
                </c:pt>
              </c:strCache>
            </c:strRef>
          </c:tx>
          <c:marker>
            <c:symbol val="none"/>
          </c:marker>
          <c:cat>
            <c:strRef>
              <c:f>'[Chart in Microsoft Word]Analysis'!$V$4:$Z$4</c:f>
              <c:strCache>
                <c:ptCount val="5"/>
                <c:pt idx="0">
                  <c:v>Q1 2016</c:v>
                </c:pt>
                <c:pt idx="1">
                  <c:v>Q2 2016</c:v>
                </c:pt>
                <c:pt idx="2">
                  <c:v>Q3 2016</c:v>
                </c:pt>
                <c:pt idx="3">
                  <c:v>Q4 2016</c:v>
                </c:pt>
                <c:pt idx="4">
                  <c:v>Q1 2017</c:v>
                </c:pt>
              </c:strCache>
            </c:strRef>
          </c:cat>
          <c:val>
            <c:numRef>
              <c:f>'[Chart in Microsoft Word]Analysis'!$V$11:$Z$11</c:f>
              <c:numCache>
                <c:formatCode>General</c:formatCode>
                <c:ptCount val="5"/>
                <c:pt idx="0">
                  <c:v>11230</c:v>
                </c:pt>
                <c:pt idx="1">
                  <c:v>13196</c:v>
                </c:pt>
                <c:pt idx="2">
                  <c:v>16131</c:v>
                </c:pt>
                <c:pt idx="3">
                  <c:v>19271</c:v>
                </c:pt>
                <c:pt idx="4">
                  <c:v>8618</c:v>
                </c:pt>
              </c:numCache>
            </c:numRef>
          </c:val>
          <c:smooth val="0"/>
        </c:ser>
        <c:dLbls>
          <c:showLegendKey val="0"/>
          <c:showVal val="0"/>
          <c:showCatName val="0"/>
          <c:showSerName val="0"/>
          <c:showPercent val="0"/>
          <c:showBubbleSize val="0"/>
        </c:dLbls>
        <c:marker val="1"/>
        <c:smooth val="0"/>
        <c:axId val="590215040"/>
        <c:axId val="590216576"/>
      </c:lineChart>
      <c:catAx>
        <c:axId val="590215040"/>
        <c:scaling>
          <c:orientation val="minMax"/>
        </c:scaling>
        <c:delete val="0"/>
        <c:axPos val="b"/>
        <c:numFmt formatCode="General" sourceLinked="1"/>
        <c:majorTickMark val="out"/>
        <c:minorTickMark val="none"/>
        <c:tickLblPos val="nextTo"/>
        <c:crossAx val="590216576"/>
        <c:crosses val="autoZero"/>
        <c:auto val="1"/>
        <c:lblAlgn val="ctr"/>
        <c:lblOffset val="100"/>
        <c:noMultiLvlLbl val="0"/>
      </c:catAx>
      <c:valAx>
        <c:axId val="590216576"/>
        <c:scaling>
          <c:orientation val="minMax"/>
        </c:scaling>
        <c:delete val="0"/>
        <c:axPos val="l"/>
        <c:majorGridlines/>
        <c:title>
          <c:tx>
            <c:rich>
              <a:bodyPr rot="-5400000" vert="horz"/>
              <a:lstStyle/>
              <a:p>
                <a:pPr>
                  <a:defRPr/>
                </a:pPr>
                <a:r>
                  <a:rPr lang="en-US"/>
                  <a:t>R/Ton</a:t>
                </a:r>
              </a:p>
            </c:rich>
          </c:tx>
          <c:layout>
            <c:manualLayout>
              <c:xMode val="edge"/>
              <c:yMode val="edge"/>
              <c:x val="1.2387564227537983E-2"/>
              <c:y val="0.33851624312328576"/>
            </c:manualLayout>
          </c:layout>
          <c:overlay val="0"/>
        </c:title>
        <c:numFmt formatCode="General" sourceLinked="1"/>
        <c:majorTickMark val="out"/>
        <c:minorTickMark val="none"/>
        <c:tickLblPos val="nextTo"/>
        <c:crossAx val="590215040"/>
        <c:crosses val="autoZero"/>
        <c:crossBetween val="between"/>
      </c:valAx>
    </c:plotArea>
    <c:legend>
      <c:legendPos val="r"/>
      <c:layout>
        <c:manualLayout>
          <c:xMode val="edge"/>
          <c:yMode val="edge"/>
          <c:x val="3.5290537636096186E-2"/>
          <c:y val="0.8818929273053403"/>
          <c:w val="0.89564390535827387"/>
          <c:h val="9.6453285145069317E-2"/>
        </c:manualLayout>
      </c:layout>
      <c:overlay val="0"/>
    </c:legend>
    <c:plotVisOnly val="1"/>
    <c:dispBlanksAs val="gap"/>
    <c:showDLblsOverMax val="0"/>
  </c:chart>
  <c:spPr>
    <a:solidFill>
      <a:schemeClr val="accent3">
        <a:lumMod val="20000"/>
        <a:lumOff val="80000"/>
      </a:schemeClr>
    </a:solidFill>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355055977532463"/>
          <c:y val="6.005403539116997E-2"/>
          <c:w val="0.73992820275455995"/>
          <c:h val="0.72693227377125103"/>
        </c:manualLayout>
      </c:layout>
      <c:barChart>
        <c:barDir val="col"/>
        <c:grouping val="clustered"/>
        <c:varyColors val="0"/>
        <c:ser>
          <c:idx val="0"/>
          <c:order val="0"/>
          <c:tx>
            <c:strRef>
              <c:f>'[Chart in Microsoft Word]Analysis'!$S$17</c:f>
              <c:strCache>
                <c:ptCount val="1"/>
                <c:pt idx="0">
                  <c:v>Apples</c:v>
                </c:pt>
              </c:strCache>
            </c:strRef>
          </c:tx>
          <c:invertIfNegative val="0"/>
          <c:cat>
            <c:strRef>
              <c:f>'[Chart in Microsoft Word]Analysis'!$U$15:$Y$16</c:f>
              <c:strCache>
                <c:ptCount val="5"/>
                <c:pt idx="0">
                  <c:v>Q1 2016</c:v>
                </c:pt>
                <c:pt idx="1">
                  <c:v>Q2 2016</c:v>
                </c:pt>
                <c:pt idx="2">
                  <c:v>Q3 2016</c:v>
                </c:pt>
                <c:pt idx="3">
                  <c:v>Q4 2016</c:v>
                </c:pt>
                <c:pt idx="4">
                  <c:v>Q1 2017</c:v>
                </c:pt>
              </c:strCache>
            </c:strRef>
          </c:cat>
          <c:val>
            <c:numRef>
              <c:f>'[Chart in Microsoft Word]Analysis'!$U$17:$Y$17</c:f>
              <c:numCache>
                <c:formatCode>General</c:formatCode>
                <c:ptCount val="5"/>
                <c:pt idx="0">
                  <c:v>34041</c:v>
                </c:pt>
                <c:pt idx="1">
                  <c:v>43193</c:v>
                </c:pt>
                <c:pt idx="2">
                  <c:v>41671</c:v>
                </c:pt>
                <c:pt idx="3">
                  <c:v>40391</c:v>
                </c:pt>
                <c:pt idx="4">
                  <c:v>33458</c:v>
                </c:pt>
              </c:numCache>
            </c:numRef>
          </c:val>
        </c:ser>
        <c:ser>
          <c:idx val="1"/>
          <c:order val="1"/>
          <c:tx>
            <c:strRef>
              <c:f>'[Chart in Microsoft Word]Analysis'!$S$18</c:f>
              <c:strCache>
                <c:ptCount val="1"/>
                <c:pt idx="0">
                  <c:v>Avocados</c:v>
                </c:pt>
              </c:strCache>
            </c:strRef>
          </c:tx>
          <c:invertIfNegative val="0"/>
          <c:cat>
            <c:strRef>
              <c:f>'[Chart in Microsoft Word]Analysis'!$U$15:$Y$16</c:f>
              <c:strCache>
                <c:ptCount val="5"/>
                <c:pt idx="0">
                  <c:v>Q1 2016</c:v>
                </c:pt>
                <c:pt idx="1">
                  <c:v>Q2 2016</c:v>
                </c:pt>
                <c:pt idx="2">
                  <c:v>Q3 2016</c:v>
                </c:pt>
                <c:pt idx="3">
                  <c:v>Q4 2016</c:v>
                </c:pt>
                <c:pt idx="4">
                  <c:v>Q1 2017</c:v>
                </c:pt>
              </c:strCache>
            </c:strRef>
          </c:cat>
          <c:val>
            <c:numRef>
              <c:f>'[Chart in Microsoft Word]Analysis'!$U$18:$Y$18</c:f>
              <c:numCache>
                <c:formatCode>General</c:formatCode>
                <c:ptCount val="5"/>
                <c:pt idx="0">
                  <c:v>4856</c:v>
                </c:pt>
                <c:pt idx="1">
                  <c:v>8171</c:v>
                </c:pt>
                <c:pt idx="2">
                  <c:v>8546</c:v>
                </c:pt>
                <c:pt idx="3">
                  <c:v>5225</c:v>
                </c:pt>
                <c:pt idx="4">
                  <c:v>4694</c:v>
                </c:pt>
              </c:numCache>
            </c:numRef>
          </c:val>
        </c:ser>
        <c:ser>
          <c:idx val="2"/>
          <c:order val="2"/>
          <c:tx>
            <c:strRef>
              <c:f>'[Chart in Microsoft Word]Analysis'!$S$19</c:f>
              <c:strCache>
                <c:ptCount val="1"/>
                <c:pt idx="0">
                  <c:v>Bananas</c:v>
                </c:pt>
              </c:strCache>
            </c:strRef>
          </c:tx>
          <c:invertIfNegative val="0"/>
          <c:cat>
            <c:strRef>
              <c:f>'[Chart in Microsoft Word]Analysis'!$U$15:$Y$16</c:f>
              <c:strCache>
                <c:ptCount val="5"/>
                <c:pt idx="0">
                  <c:v>Q1 2016</c:v>
                </c:pt>
                <c:pt idx="1">
                  <c:v>Q2 2016</c:v>
                </c:pt>
                <c:pt idx="2">
                  <c:v>Q3 2016</c:v>
                </c:pt>
                <c:pt idx="3">
                  <c:v>Q4 2016</c:v>
                </c:pt>
                <c:pt idx="4">
                  <c:v>Q1 2017</c:v>
                </c:pt>
              </c:strCache>
            </c:strRef>
          </c:cat>
          <c:val>
            <c:numRef>
              <c:f>'[Chart in Microsoft Word]Analysis'!$U$19:$Y$19</c:f>
              <c:numCache>
                <c:formatCode>General</c:formatCode>
                <c:ptCount val="5"/>
                <c:pt idx="0">
                  <c:v>54143</c:v>
                </c:pt>
                <c:pt idx="1">
                  <c:v>44875</c:v>
                </c:pt>
                <c:pt idx="2">
                  <c:v>41960</c:v>
                </c:pt>
                <c:pt idx="3">
                  <c:v>43933</c:v>
                </c:pt>
                <c:pt idx="4">
                  <c:v>44990</c:v>
                </c:pt>
              </c:numCache>
            </c:numRef>
          </c:val>
        </c:ser>
        <c:ser>
          <c:idx val="3"/>
          <c:order val="3"/>
          <c:tx>
            <c:strRef>
              <c:f>'[Chart in Microsoft Word]Analysis'!$S$20</c:f>
              <c:strCache>
                <c:ptCount val="1"/>
                <c:pt idx="0">
                  <c:v>Oranges</c:v>
                </c:pt>
              </c:strCache>
            </c:strRef>
          </c:tx>
          <c:invertIfNegative val="0"/>
          <c:cat>
            <c:strRef>
              <c:f>'[Chart in Microsoft Word]Analysis'!$U$15:$Y$16</c:f>
              <c:strCache>
                <c:ptCount val="5"/>
                <c:pt idx="0">
                  <c:v>Q1 2016</c:v>
                </c:pt>
                <c:pt idx="1">
                  <c:v>Q2 2016</c:v>
                </c:pt>
                <c:pt idx="2">
                  <c:v>Q3 2016</c:v>
                </c:pt>
                <c:pt idx="3">
                  <c:v>Q4 2016</c:v>
                </c:pt>
                <c:pt idx="4">
                  <c:v>Q1 2017</c:v>
                </c:pt>
              </c:strCache>
            </c:strRef>
          </c:cat>
          <c:val>
            <c:numRef>
              <c:f>'[Chart in Microsoft Word]Analysis'!$U$20:$Y$20</c:f>
              <c:numCache>
                <c:formatCode>General</c:formatCode>
                <c:ptCount val="5"/>
                <c:pt idx="0">
                  <c:v>3233</c:v>
                </c:pt>
                <c:pt idx="1">
                  <c:v>43031</c:v>
                </c:pt>
                <c:pt idx="2">
                  <c:v>36943</c:v>
                </c:pt>
                <c:pt idx="3">
                  <c:v>5778</c:v>
                </c:pt>
                <c:pt idx="4">
                  <c:v>4481</c:v>
                </c:pt>
              </c:numCache>
            </c:numRef>
          </c:val>
        </c:ser>
        <c:ser>
          <c:idx val="4"/>
          <c:order val="4"/>
          <c:tx>
            <c:strRef>
              <c:f>'[Chart in Microsoft Word]Analysis'!$S$21</c:f>
              <c:strCache>
                <c:ptCount val="1"/>
                <c:pt idx="0">
                  <c:v>Pears</c:v>
                </c:pt>
              </c:strCache>
            </c:strRef>
          </c:tx>
          <c:invertIfNegative val="0"/>
          <c:cat>
            <c:strRef>
              <c:f>'[Chart in Microsoft Word]Analysis'!$U$15:$Y$16</c:f>
              <c:strCache>
                <c:ptCount val="5"/>
                <c:pt idx="0">
                  <c:v>Q1 2016</c:v>
                </c:pt>
                <c:pt idx="1">
                  <c:v>Q2 2016</c:v>
                </c:pt>
                <c:pt idx="2">
                  <c:v>Q3 2016</c:v>
                </c:pt>
                <c:pt idx="3">
                  <c:v>Q4 2016</c:v>
                </c:pt>
                <c:pt idx="4">
                  <c:v>Q1 2017</c:v>
                </c:pt>
              </c:strCache>
            </c:strRef>
          </c:cat>
          <c:val>
            <c:numRef>
              <c:f>'[Chart in Microsoft Word]Analysis'!$U$21:$Y$21</c:f>
              <c:numCache>
                <c:formatCode>General</c:formatCode>
                <c:ptCount val="5"/>
                <c:pt idx="0">
                  <c:v>11794</c:v>
                </c:pt>
                <c:pt idx="1">
                  <c:v>13508</c:v>
                </c:pt>
                <c:pt idx="2">
                  <c:v>11940</c:v>
                </c:pt>
                <c:pt idx="3">
                  <c:v>5482</c:v>
                </c:pt>
                <c:pt idx="4">
                  <c:v>10954</c:v>
                </c:pt>
              </c:numCache>
            </c:numRef>
          </c:val>
        </c:ser>
        <c:ser>
          <c:idx val="5"/>
          <c:order val="5"/>
          <c:tx>
            <c:strRef>
              <c:f>'[Chart in Microsoft Word]Analysis'!$S$22</c:f>
              <c:strCache>
                <c:ptCount val="1"/>
                <c:pt idx="0">
                  <c:v>Mangoes</c:v>
                </c:pt>
              </c:strCache>
            </c:strRef>
          </c:tx>
          <c:invertIfNegative val="0"/>
          <c:cat>
            <c:strRef>
              <c:f>'[Chart in Microsoft Word]Analysis'!$U$15:$Y$16</c:f>
              <c:strCache>
                <c:ptCount val="5"/>
                <c:pt idx="0">
                  <c:v>Q1 2016</c:v>
                </c:pt>
                <c:pt idx="1">
                  <c:v>Q2 2016</c:v>
                </c:pt>
                <c:pt idx="2">
                  <c:v>Q3 2016</c:v>
                </c:pt>
                <c:pt idx="3">
                  <c:v>Q4 2016</c:v>
                </c:pt>
                <c:pt idx="4">
                  <c:v>Q1 2017</c:v>
                </c:pt>
              </c:strCache>
            </c:strRef>
          </c:cat>
          <c:val>
            <c:numRef>
              <c:f>'[Chart in Microsoft Word]Analysis'!$U$22:$Y$22</c:f>
              <c:numCache>
                <c:formatCode>General</c:formatCode>
                <c:ptCount val="5"/>
                <c:pt idx="0">
                  <c:v>8551</c:v>
                </c:pt>
                <c:pt idx="1">
                  <c:v>351</c:v>
                </c:pt>
                <c:pt idx="2">
                  <c:v>42</c:v>
                </c:pt>
                <c:pt idx="3">
                  <c:v>7972</c:v>
                </c:pt>
                <c:pt idx="4">
                  <c:v>10528</c:v>
                </c:pt>
              </c:numCache>
            </c:numRef>
          </c:val>
        </c:ser>
        <c:ser>
          <c:idx val="6"/>
          <c:order val="6"/>
          <c:tx>
            <c:strRef>
              <c:f>'[Chart in Microsoft Word]Analysis'!$S$23</c:f>
              <c:strCache>
                <c:ptCount val="1"/>
                <c:pt idx="0">
                  <c:v>Grapes</c:v>
                </c:pt>
              </c:strCache>
            </c:strRef>
          </c:tx>
          <c:invertIfNegative val="0"/>
          <c:cat>
            <c:strRef>
              <c:f>'[Chart in Microsoft Word]Analysis'!$U$15:$Y$16</c:f>
              <c:strCache>
                <c:ptCount val="5"/>
                <c:pt idx="0">
                  <c:v>Q1 2016</c:v>
                </c:pt>
                <c:pt idx="1">
                  <c:v>Q2 2016</c:v>
                </c:pt>
                <c:pt idx="2">
                  <c:v>Q3 2016</c:v>
                </c:pt>
                <c:pt idx="3">
                  <c:v>Q4 2016</c:v>
                </c:pt>
                <c:pt idx="4">
                  <c:v>Q1 2017</c:v>
                </c:pt>
              </c:strCache>
            </c:strRef>
          </c:cat>
          <c:val>
            <c:numRef>
              <c:f>'[Chart in Microsoft Word]Analysis'!$U$23:$Y$23</c:f>
              <c:numCache>
                <c:formatCode>General</c:formatCode>
                <c:ptCount val="5"/>
                <c:pt idx="0">
                  <c:v>10622</c:v>
                </c:pt>
                <c:pt idx="1">
                  <c:v>4735</c:v>
                </c:pt>
                <c:pt idx="2">
                  <c:v>1416</c:v>
                </c:pt>
                <c:pt idx="3">
                  <c:v>3810</c:v>
                </c:pt>
                <c:pt idx="4">
                  <c:v>12042</c:v>
                </c:pt>
              </c:numCache>
            </c:numRef>
          </c:val>
        </c:ser>
        <c:dLbls>
          <c:showLegendKey val="0"/>
          <c:showVal val="0"/>
          <c:showCatName val="0"/>
          <c:showSerName val="0"/>
          <c:showPercent val="0"/>
          <c:showBubbleSize val="0"/>
        </c:dLbls>
        <c:gapWidth val="150"/>
        <c:axId val="590246272"/>
        <c:axId val="590247808"/>
      </c:barChart>
      <c:catAx>
        <c:axId val="590246272"/>
        <c:scaling>
          <c:orientation val="minMax"/>
        </c:scaling>
        <c:delete val="0"/>
        <c:axPos val="b"/>
        <c:numFmt formatCode="General" sourceLinked="1"/>
        <c:majorTickMark val="out"/>
        <c:minorTickMark val="none"/>
        <c:tickLblPos val="nextTo"/>
        <c:crossAx val="590247808"/>
        <c:crosses val="autoZero"/>
        <c:auto val="1"/>
        <c:lblAlgn val="ctr"/>
        <c:lblOffset val="100"/>
        <c:noMultiLvlLbl val="0"/>
      </c:catAx>
      <c:valAx>
        <c:axId val="590247808"/>
        <c:scaling>
          <c:orientation val="minMax"/>
        </c:scaling>
        <c:delete val="0"/>
        <c:axPos val="l"/>
        <c:majorGridlines/>
        <c:title>
          <c:tx>
            <c:rich>
              <a:bodyPr rot="-5400000" vert="horz"/>
              <a:lstStyle/>
              <a:p>
                <a:pPr>
                  <a:defRPr/>
                </a:pPr>
                <a:r>
                  <a:rPr lang="en-ZA"/>
                  <a:t>Quantities (Tons)</a:t>
                </a:r>
              </a:p>
            </c:rich>
          </c:tx>
          <c:layout>
            <c:manualLayout>
              <c:xMode val="edge"/>
              <c:yMode val="edge"/>
              <c:x val="2.4826786630059119E-2"/>
              <c:y val="0.33090810966636836"/>
            </c:manualLayout>
          </c:layout>
          <c:overlay val="0"/>
        </c:title>
        <c:numFmt formatCode="General" sourceLinked="1"/>
        <c:majorTickMark val="out"/>
        <c:minorTickMark val="none"/>
        <c:tickLblPos val="nextTo"/>
        <c:crossAx val="590246272"/>
        <c:crosses val="autoZero"/>
        <c:crossBetween val="between"/>
      </c:valAx>
    </c:plotArea>
    <c:legend>
      <c:legendPos val="r"/>
      <c:layout>
        <c:manualLayout>
          <c:xMode val="edge"/>
          <c:yMode val="edge"/>
          <c:x val="4.5852439682622266E-2"/>
          <c:y val="0.89397090657511069"/>
          <c:w val="0.90037517922240085"/>
          <c:h val="8.3160084332568426E-2"/>
        </c:manualLayout>
      </c:layout>
      <c:overlay val="0"/>
      <c:spPr>
        <a:noFill/>
      </c:spPr>
    </c:legend>
    <c:plotVisOnly val="1"/>
    <c:dispBlanksAs val="gap"/>
    <c:showDLblsOverMax val="0"/>
  </c:chart>
  <c:spPr>
    <a:solidFill>
      <a:schemeClr val="accent3">
        <a:lumMod val="20000"/>
        <a:lumOff val="80000"/>
      </a:schemeClr>
    </a:solidFill>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'[Chart in Microsoft Word]Analysis'!$Q$31</c:f>
              <c:strCache>
                <c:ptCount val="1"/>
                <c:pt idx="0">
                  <c:v>Carrots</c:v>
                </c:pt>
              </c:strCache>
            </c:strRef>
          </c:tx>
          <c:marker>
            <c:symbol val="none"/>
          </c:marker>
          <c:cat>
            <c:strRef>
              <c:f>'[Chart in Microsoft Word]Analysis'!$S$29:$W$30</c:f>
              <c:strCache>
                <c:ptCount val="5"/>
                <c:pt idx="0">
                  <c:v>Q1 2016</c:v>
                </c:pt>
                <c:pt idx="1">
                  <c:v>Q2 2016</c:v>
                </c:pt>
                <c:pt idx="2">
                  <c:v>Q3 2016</c:v>
                </c:pt>
                <c:pt idx="3">
                  <c:v>Q4 2016</c:v>
                </c:pt>
                <c:pt idx="4">
                  <c:v>Q1  2017</c:v>
                </c:pt>
              </c:strCache>
            </c:strRef>
          </c:cat>
          <c:val>
            <c:numRef>
              <c:f>'[Chart in Microsoft Word]Analysis'!$S$31:$W$31</c:f>
              <c:numCache>
                <c:formatCode>General</c:formatCode>
                <c:ptCount val="5"/>
                <c:pt idx="0">
                  <c:v>7095</c:v>
                </c:pt>
                <c:pt idx="1">
                  <c:v>6043</c:v>
                </c:pt>
                <c:pt idx="2" formatCode="#,##0">
                  <c:v>2464</c:v>
                </c:pt>
                <c:pt idx="3">
                  <c:v>3094</c:v>
                </c:pt>
                <c:pt idx="4" formatCode="0">
                  <c:v>4095.4555506809752</c:v>
                </c:pt>
              </c:numCache>
            </c:numRef>
          </c:val>
          <c:smooth val="0"/>
        </c:ser>
        <c:ser>
          <c:idx val="1"/>
          <c:order val="1"/>
          <c:tx>
            <c:strRef>
              <c:f>'[Chart in Microsoft Word]Analysis'!$Q$32</c:f>
              <c:strCache>
                <c:ptCount val="1"/>
                <c:pt idx="0">
                  <c:v>Onions</c:v>
                </c:pt>
              </c:strCache>
            </c:strRef>
          </c:tx>
          <c:marker>
            <c:symbol val="none"/>
          </c:marker>
          <c:cat>
            <c:strRef>
              <c:f>'[Chart in Microsoft Word]Analysis'!$S$29:$W$30</c:f>
              <c:strCache>
                <c:ptCount val="5"/>
                <c:pt idx="0">
                  <c:v>Q1 2016</c:v>
                </c:pt>
                <c:pt idx="1">
                  <c:v>Q2 2016</c:v>
                </c:pt>
                <c:pt idx="2">
                  <c:v>Q3 2016</c:v>
                </c:pt>
                <c:pt idx="3">
                  <c:v>Q4 2016</c:v>
                </c:pt>
                <c:pt idx="4">
                  <c:v>Q1  2017</c:v>
                </c:pt>
              </c:strCache>
            </c:strRef>
          </c:cat>
          <c:val>
            <c:numRef>
              <c:f>'[Chart in Microsoft Word]Analysis'!$S$32:$W$32</c:f>
              <c:numCache>
                <c:formatCode>General</c:formatCode>
                <c:ptCount val="5"/>
                <c:pt idx="0">
                  <c:v>11830</c:v>
                </c:pt>
                <c:pt idx="1">
                  <c:v>8669</c:v>
                </c:pt>
                <c:pt idx="2" formatCode="#,##0">
                  <c:v>5072</c:v>
                </c:pt>
                <c:pt idx="3">
                  <c:v>2774</c:v>
                </c:pt>
                <c:pt idx="4">
                  <c:v>2630</c:v>
                </c:pt>
              </c:numCache>
            </c:numRef>
          </c:val>
          <c:smooth val="0"/>
        </c:ser>
        <c:ser>
          <c:idx val="2"/>
          <c:order val="2"/>
          <c:tx>
            <c:strRef>
              <c:f>'[Chart in Microsoft Word]Analysis'!$Q$33</c:f>
              <c:strCache>
                <c:ptCount val="1"/>
                <c:pt idx="0">
                  <c:v>Potatoes</c:v>
                </c:pt>
              </c:strCache>
            </c:strRef>
          </c:tx>
          <c:marker>
            <c:symbol val="none"/>
          </c:marker>
          <c:cat>
            <c:strRef>
              <c:f>'[Chart in Microsoft Word]Analysis'!$S$29:$W$30</c:f>
              <c:strCache>
                <c:ptCount val="5"/>
                <c:pt idx="0">
                  <c:v>Q1 2016</c:v>
                </c:pt>
                <c:pt idx="1">
                  <c:v>Q2 2016</c:v>
                </c:pt>
                <c:pt idx="2">
                  <c:v>Q3 2016</c:v>
                </c:pt>
                <c:pt idx="3">
                  <c:v>Q4 2016</c:v>
                </c:pt>
                <c:pt idx="4">
                  <c:v>Q1  2017</c:v>
                </c:pt>
              </c:strCache>
            </c:strRef>
          </c:cat>
          <c:val>
            <c:numRef>
              <c:f>'[Chart in Microsoft Word]Analysis'!$S$33:$W$33</c:f>
              <c:numCache>
                <c:formatCode>General</c:formatCode>
                <c:ptCount val="5"/>
                <c:pt idx="0">
                  <c:v>6463</c:v>
                </c:pt>
                <c:pt idx="1">
                  <c:v>6572</c:v>
                </c:pt>
                <c:pt idx="2" formatCode="#,##0">
                  <c:v>4187</c:v>
                </c:pt>
                <c:pt idx="3">
                  <c:v>4467</c:v>
                </c:pt>
                <c:pt idx="4">
                  <c:v>3722</c:v>
                </c:pt>
              </c:numCache>
            </c:numRef>
          </c:val>
          <c:smooth val="0"/>
        </c:ser>
        <c:ser>
          <c:idx val="3"/>
          <c:order val="3"/>
          <c:tx>
            <c:strRef>
              <c:f>'[Chart in Microsoft Word]Analysis'!$Q$34</c:f>
              <c:strCache>
                <c:ptCount val="1"/>
                <c:pt idx="0">
                  <c:v>Tomatoes</c:v>
                </c:pt>
              </c:strCache>
            </c:strRef>
          </c:tx>
          <c:marker>
            <c:symbol val="none"/>
          </c:marker>
          <c:cat>
            <c:strRef>
              <c:f>'[Chart in Microsoft Word]Analysis'!$S$29:$W$30</c:f>
              <c:strCache>
                <c:ptCount val="5"/>
                <c:pt idx="0">
                  <c:v>Q1 2016</c:v>
                </c:pt>
                <c:pt idx="1">
                  <c:v>Q2 2016</c:v>
                </c:pt>
                <c:pt idx="2">
                  <c:v>Q3 2016</c:v>
                </c:pt>
                <c:pt idx="3">
                  <c:v>Q4 2016</c:v>
                </c:pt>
                <c:pt idx="4">
                  <c:v>Q1  2017</c:v>
                </c:pt>
              </c:strCache>
            </c:strRef>
          </c:cat>
          <c:val>
            <c:numRef>
              <c:f>'[Chart in Microsoft Word]Analysis'!$S$34:$W$34</c:f>
              <c:numCache>
                <c:formatCode>General</c:formatCode>
                <c:ptCount val="5"/>
                <c:pt idx="0">
                  <c:v>6101</c:v>
                </c:pt>
                <c:pt idx="1">
                  <c:v>3337</c:v>
                </c:pt>
                <c:pt idx="2" formatCode="#,##0">
                  <c:v>4656</c:v>
                </c:pt>
                <c:pt idx="3">
                  <c:v>6724</c:v>
                </c:pt>
                <c:pt idx="4">
                  <c:v>6785</c:v>
                </c:pt>
              </c:numCache>
            </c:numRef>
          </c:val>
          <c:smooth val="0"/>
        </c:ser>
        <c:ser>
          <c:idx val="4"/>
          <c:order val="4"/>
          <c:tx>
            <c:strRef>
              <c:f>'[Chart in Microsoft Word]Analysis'!$Q$35</c:f>
              <c:strCache>
                <c:ptCount val="1"/>
                <c:pt idx="0">
                  <c:v>Cabbage</c:v>
                </c:pt>
              </c:strCache>
            </c:strRef>
          </c:tx>
          <c:marker>
            <c:symbol val="none"/>
          </c:marker>
          <c:cat>
            <c:strRef>
              <c:f>'[Chart in Microsoft Word]Analysis'!$S$29:$W$30</c:f>
              <c:strCache>
                <c:ptCount val="5"/>
                <c:pt idx="0">
                  <c:v>Q1 2016</c:v>
                </c:pt>
                <c:pt idx="1">
                  <c:v>Q2 2016</c:v>
                </c:pt>
                <c:pt idx="2">
                  <c:v>Q3 2016</c:v>
                </c:pt>
                <c:pt idx="3">
                  <c:v>Q4 2016</c:v>
                </c:pt>
                <c:pt idx="4">
                  <c:v>Q1  2017</c:v>
                </c:pt>
              </c:strCache>
            </c:strRef>
          </c:cat>
          <c:val>
            <c:numRef>
              <c:f>'[Chart in Microsoft Word]Analysis'!$S$35:$W$35</c:f>
              <c:numCache>
                <c:formatCode>General</c:formatCode>
                <c:ptCount val="5"/>
                <c:pt idx="0">
                  <c:v>5851</c:v>
                </c:pt>
                <c:pt idx="1">
                  <c:v>6071</c:v>
                </c:pt>
                <c:pt idx="2" formatCode="#,##0">
                  <c:v>1572</c:v>
                </c:pt>
                <c:pt idx="3">
                  <c:v>1735</c:v>
                </c:pt>
                <c:pt idx="4">
                  <c:v>3035</c:v>
                </c:pt>
              </c:numCache>
            </c:numRef>
          </c:val>
          <c:smooth val="0"/>
        </c:ser>
        <c:dLbls>
          <c:showLegendKey val="0"/>
          <c:showVal val="0"/>
          <c:showCatName val="0"/>
          <c:showSerName val="0"/>
          <c:showPercent val="0"/>
          <c:showBubbleSize val="0"/>
        </c:dLbls>
        <c:marker val="1"/>
        <c:smooth val="0"/>
        <c:axId val="590283904"/>
        <c:axId val="590285440"/>
      </c:lineChart>
      <c:catAx>
        <c:axId val="590283904"/>
        <c:scaling>
          <c:orientation val="minMax"/>
        </c:scaling>
        <c:delete val="0"/>
        <c:axPos val="b"/>
        <c:majorTickMark val="out"/>
        <c:minorTickMark val="none"/>
        <c:tickLblPos val="nextTo"/>
        <c:crossAx val="590285440"/>
        <c:crosses val="autoZero"/>
        <c:auto val="1"/>
        <c:lblAlgn val="ctr"/>
        <c:lblOffset val="100"/>
        <c:noMultiLvlLbl val="0"/>
      </c:catAx>
      <c:valAx>
        <c:axId val="590285440"/>
        <c:scaling>
          <c:orientation val="minMax"/>
        </c:scaling>
        <c:delete val="0"/>
        <c:axPos val="l"/>
        <c:majorGridlines/>
        <c:title>
          <c:tx>
            <c:rich>
              <a:bodyPr rot="-5400000" vert="horz"/>
              <a:lstStyle/>
              <a:p>
                <a:pPr>
                  <a:defRPr/>
                </a:pPr>
                <a:r>
                  <a:rPr lang="en-ZA"/>
                  <a:t>R/Ton</a:t>
                </a:r>
              </a:p>
            </c:rich>
          </c:tx>
          <c:overlay val="0"/>
        </c:title>
        <c:numFmt formatCode="General" sourceLinked="1"/>
        <c:majorTickMark val="out"/>
        <c:minorTickMark val="none"/>
        <c:tickLblPos val="nextTo"/>
        <c:crossAx val="590283904"/>
        <c:crosses val="autoZero"/>
        <c:crossBetween val="between"/>
      </c:valAx>
    </c:plotArea>
    <c:legend>
      <c:legendPos val="b"/>
      <c:overlay val="0"/>
    </c:legend>
    <c:plotVisOnly val="1"/>
    <c:dispBlanksAs val="gap"/>
    <c:showDLblsOverMax val="0"/>
  </c:chart>
  <c:spPr>
    <a:solidFill>
      <a:schemeClr val="accent3">
        <a:lumMod val="20000"/>
        <a:lumOff val="80000"/>
      </a:schemeClr>
    </a:solidFill>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'[Chart in Microsoft Word]Analysis'!$Q$48</c:f>
              <c:strCache>
                <c:ptCount val="1"/>
                <c:pt idx="0">
                  <c:v>Carrots</c:v>
                </c:pt>
              </c:strCache>
            </c:strRef>
          </c:tx>
          <c:marker>
            <c:symbol val="none"/>
          </c:marker>
          <c:cat>
            <c:strRef>
              <c:f>'[Chart in Microsoft Word]Analysis'!$S$46:$W$47</c:f>
              <c:strCache>
                <c:ptCount val="5"/>
                <c:pt idx="0">
                  <c:v>Q1 2016</c:v>
                </c:pt>
                <c:pt idx="1">
                  <c:v>Q2 2016</c:v>
                </c:pt>
                <c:pt idx="2">
                  <c:v>Q3 2016</c:v>
                </c:pt>
                <c:pt idx="3">
                  <c:v>Q4 2016</c:v>
                </c:pt>
                <c:pt idx="4">
                  <c:v>Q1 2017</c:v>
                </c:pt>
              </c:strCache>
            </c:strRef>
          </c:cat>
          <c:val>
            <c:numRef>
              <c:f>'[Chart in Microsoft Word]Analysis'!$S$48:$W$48</c:f>
              <c:numCache>
                <c:formatCode>General</c:formatCode>
                <c:ptCount val="5"/>
                <c:pt idx="0">
                  <c:v>34041</c:v>
                </c:pt>
                <c:pt idx="1">
                  <c:v>43193</c:v>
                </c:pt>
                <c:pt idx="2" formatCode="#,##0">
                  <c:v>35981</c:v>
                </c:pt>
                <c:pt idx="3">
                  <c:v>35992</c:v>
                </c:pt>
                <c:pt idx="4" formatCode="0">
                  <c:v>29240.257499999996</c:v>
                </c:pt>
              </c:numCache>
            </c:numRef>
          </c:val>
          <c:smooth val="0"/>
        </c:ser>
        <c:ser>
          <c:idx val="1"/>
          <c:order val="1"/>
          <c:tx>
            <c:strRef>
              <c:f>'[Chart in Microsoft Word]Analysis'!$Q$49</c:f>
              <c:strCache>
                <c:ptCount val="1"/>
                <c:pt idx="0">
                  <c:v>Onions</c:v>
                </c:pt>
              </c:strCache>
            </c:strRef>
          </c:tx>
          <c:marker>
            <c:symbol val="none"/>
          </c:marker>
          <c:cat>
            <c:strRef>
              <c:f>'[Chart in Microsoft Word]Analysis'!$S$46:$W$47</c:f>
              <c:strCache>
                <c:ptCount val="5"/>
                <c:pt idx="0">
                  <c:v>Q1 2016</c:v>
                </c:pt>
                <c:pt idx="1">
                  <c:v>Q2 2016</c:v>
                </c:pt>
                <c:pt idx="2">
                  <c:v>Q3 2016</c:v>
                </c:pt>
                <c:pt idx="3">
                  <c:v>Q4 2016</c:v>
                </c:pt>
                <c:pt idx="4">
                  <c:v>Q1 2017</c:v>
                </c:pt>
              </c:strCache>
            </c:strRef>
          </c:cat>
          <c:val>
            <c:numRef>
              <c:f>'[Chart in Microsoft Word]Analysis'!$S$49:$W$49</c:f>
              <c:numCache>
                <c:formatCode>General</c:formatCode>
                <c:ptCount val="5"/>
                <c:pt idx="0">
                  <c:v>4856</c:v>
                </c:pt>
                <c:pt idx="1">
                  <c:v>8171</c:v>
                </c:pt>
                <c:pt idx="2" formatCode="#,##0">
                  <c:v>96697</c:v>
                </c:pt>
                <c:pt idx="3">
                  <c:v>98464</c:v>
                </c:pt>
                <c:pt idx="4" formatCode="0">
                  <c:v>97035.870999999999</c:v>
                </c:pt>
              </c:numCache>
            </c:numRef>
          </c:val>
          <c:smooth val="0"/>
        </c:ser>
        <c:ser>
          <c:idx val="2"/>
          <c:order val="2"/>
          <c:tx>
            <c:strRef>
              <c:f>'[Chart in Microsoft Word]Analysis'!$Q$50</c:f>
              <c:strCache>
                <c:ptCount val="1"/>
                <c:pt idx="0">
                  <c:v>Potatoes</c:v>
                </c:pt>
              </c:strCache>
            </c:strRef>
          </c:tx>
          <c:marker>
            <c:symbol val="none"/>
          </c:marker>
          <c:cat>
            <c:strRef>
              <c:f>'[Chart in Microsoft Word]Analysis'!$S$46:$W$47</c:f>
              <c:strCache>
                <c:ptCount val="5"/>
                <c:pt idx="0">
                  <c:v>Q1 2016</c:v>
                </c:pt>
                <c:pt idx="1">
                  <c:v>Q2 2016</c:v>
                </c:pt>
                <c:pt idx="2">
                  <c:v>Q3 2016</c:v>
                </c:pt>
                <c:pt idx="3">
                  <c:v>Q4 2016</c:v>
                </c:pt>
                <c:pt idx="4">
                  <c:v>Q1 2017</c:v>
                </c:pt>
              </c:strCache>
            </c:strRef>
          </c:cat>
          <c:val>
            <c:numRef>
              <c:f>'[Chart in Microsoft Word]Analysis'!$S$50:$W$50</c:f>
              <c:numCache>
                <c:formatCode>General</c:formatCode>
                <c:ptCount val="5"/>
                <c:pt idx="0">
                  <c:v>54143</c:v>
                </c:pt>
                <c:pt idx="1">
                  <c:v>44875</c:v>
                </c:pt>
                <c:pt idx="2">
                  <c:v>262831</c:v>
                </c:pt>
                <c:pt idx="3">
                  <c:v>273037</c:v>
                </c:pt>
                <c:pt idx="4" formatCode="0">
                  <c:v>265823.783</c:v>
                </c:pt>
              </c:numCache>
            </c:numRef>
          </c:val>
          <c:smooth val="0"/>
        </c:ser>
        <c:ser>
          <c:idx val="3"/>
          <c:order val="3"/>
          <c:tx>
            <c:strRef>
              <c:f>'[Chart in Microsoft Word]Analysis'!$Q$51</c:f>
              <c:strCache>
                <c:ptCount val="1"/>
                <c:pt idx="0">
                  <c:v>Tomatoes</c:v>
                </c:pt>
              </c:strCache>
            </c:strRef>
          </c:tx>
          <c:marker>
            <c:symbol val="none"/>
          </c:marker>
          <c:cat>
            <c:strRef>
              <c:f>'[Chart in Microsoft Word]Analysis'!$S$46:$W$47</c:f>
              <c:strCache>
                <c:ptCount val="5"/>
                <c:pt idx="0">
                  <c:v>Q1 2016</c:v>
                </c:pt>
                <c:pt idx="1">
                  <c:v>Q2 2016</c:v>
                </c:pt>
                <c:pt idx="2">
                  <c:v>Q3 2016</c:v>
                </c:pt>
                <c:pt idx="3">
                  <c:v>Q4 2016</c:v>
                </c:pt>
                <c:pt idx="4">
                  <c:v>Q1 2017</c:v>
                </c:pt>
              </c:strCache>
            </c:strRef>
          </c:cat>
          <c:val>
            <c:numRef>
              <c:f>'[Chart in Microsoft Word]Analysis'!$S$51:$W$51</c:f>
              <c:numCache>
                <c:formatCode>General</c:formatCode>
                <c:ptCount val="5"/>
                <c:pt idx="0">
                  <c:v>3233</c:v>
                </c:pt>
                <c:pt idx="1">
                  <c:v>43031</c:v>
                </c:pt>
                <c:pt idx="2">
                  <c:v>79966</c:v>
                </c:pt>
                <c:pt idx="3">
                  <c:v>69809</c:v>
                </c:pt>
                <c:pt idx="4" formatCode="0">
                  <c:v>60699.209499999997</c:v>
                </c:pt>
              </c:numCache>
            </c:numRef>
          </c:val>
          <c:smooth val="0"/>
        </c:ser>
        <c:ser>
          <c:idx val="4"/>
          <c:order val="4"/>
          <c:tx>
            <c:strRef>
              <c:f>'[Chart in Microsoft Word]Analysis'!$Q$52</c:f>
              <c:strCache>
                <c:ptCount val="1"/>
                <c:pt idx="0">
                  <c:v>Cabbage</c:v>
                </c:pt>
              </c:strCache>
            </c:strRef>
          </c:tx>
          <c:marker>
            <c:symbol val="none"/>
          </c:marker>
          <c:cat>
            <c:strRef>
              <c:f>'[Chart in Microsoft Word]Analysis'!$S$46:$W$47</c:f>
              <c:strCache>
                <c:ptCount val="5"/>
                <c:pt idx="0">
                  <c:v>Q1 2016</c:v>
                </c:pt>
                <c:pt idx="1">
                  <c:v>Q2 2016</c:v>
                </c:pt>
                <c:pt idx="2">
                  <c:v>Q3 2016</c:v>
                </c:pt>
                <c:pt idx="3">
                  <c:v>Q4 2016</c:v>
                </c:pt>
                <c:pt idx="4">
                  <c:v>Q1 2017</c:v>
                </c:pt>
              </c:strCache>
            </c:strRef>
          </c:cat>
          <c:val>
            <c:numRef>
              <c:f>'[Chart in Microsoft Word]Analysis'!$S$52:$W$52</c:f>
              <c:numCache>
                <c:formatCode>General</c:formatCode>
                <c:ptCount val="5"/>
                <c:pt idx="0">
                  <c:v>11794</c:v>
                </c:pt>
                <c:pt idx="1">
                  <c:v>13508</c:v>
                </c:pt>
                <c:pt idx="2">
                  <c:v>33949</c:v>
                </c:pt>
                <c:pt idx="3">
                  <c:v>27923</c:v>
                </c:pt>
                <c:pt idx="4" formatCode="0">
                  <c:v>19199.7114</c:v>
                </c:pt>
              </c:numCache>
            </c:numRef>
          </c:val>
          <c:smooth val="0"/>
        </c:ser>
        <c:dLbls>
          <c:showLegendKey val="0"/>
          <c:showVal val="0"/>
          <c:showCatName val="0"/>
          <c:showSerName val="0"/>
          <c:showPercent val="0"/>
          <c:showBubbleSize val="0"/>
        </c:dLbls>
        <c:marker val="1"/>
        <c:smooth val="0"/>
        <c:axId val="590366592"/>
        <c:axId val="590368128"/>
      </c:lineChart>
      <c:catAx>
        <c:axId val="590366592"/>
        <c:scaling>
          <c:orientation val="minMax"/>
        </c:scaling>
        <c:delete val="0"/>
        <c:axPos val="b"/>
        <c:majorTickMark val="out"/>
        <c:minorTickMark val="none"/>
        <c:tickLblPos val="nextTo"/>
        <c:crossAx val="590368128"/>
        <c:crosses val="autoZero"/>
        <c:auto val="1"/>
        <c:lblAlgn val="ctr"/>
        <c:lblOffset val="100"/>
        <c:noMultiLvlLbl val="0"/>
      </c:catAx>
      <c:valAx>
        <c:axId val="590368128"/>
        <c:scaling>
          <c:orientation val="minMax"/>
        </c:scaling>
        <c:delete val="0"/>
        <c:axPos val="l"/>
        <c:majorGridlines/>
        <c:title>
          <c:tx>
            <c:rich>
              <a:bodyPr rot="-5400000" vert="horz"/>
              <a:lstStyle/>
              <a:p>
                <a:pPr>
                  <a:defRPr/>
                </a:pPr>
                <a:r>
                  <a:rPr lang="en-ZA"/>
                  <a:t>Quantities ( Tons)</a:t>
                </a:r>
              </a:p>
            </c:rich>
          </c:tx>
          <c:layout>
            <c:manualLayout>
              <c:xMode val="edge"/>
              <c:yMode val="edge"/>
              <c:x val="1.6666666666666666E-2"/>
              <c:y val="0.31075896762904637"/>
            </c:manualLayout>
          </c:layout>
          <c:overlay val="0"/>
        </c:title>
        <c:numFmt formatCode="General" sourceLinked="1"/>
        <c:majorTickMark val="out"/>
        <c:minorTickMark val="none"/>
        <c:tickLblPos val="nextTo"/>
        <c:crossAx val="590366592"/>
        <c:crosses val="autoZero"/>
        <c:crossBetween val="between"/>
      </c:valAx>
    </c:plotArea>
    <c:legend>
      <c:legendPos val="b"/>
      <c:overlay val="0"/>
    </c:legend>
    <c:plotVisOnly val="1"/>
    <c:dispBlanksAs val="gap"/>
    <c:showDLblsOverMax val="0"/>
  </c:chart>
  <c:spPr>
    <a:solidFill>
      <a:schemeClr val="accent3">
        <a:lumMod val="20000"/>
        <a:lumOff val="80000"/>
      </a:schemeClr>
    </a:solidFill>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'q3 2016'!$D$4</c:f>
              <c:strCache>
                <c:ptCount val="1"/>
                <c:pt idx="0">
                  <c:v>Total Production</c:v>
                </c:pt>
              </c:strCache>
            </c:strRef>
          </c:tx>
          <c:spPr>
            <a:solidFill>
              <a:srgbClr val="005D28"/>
            </a:solidFill>
          </c:spPr>
          <c:invertIfNegative val="0"/>
          <c:cat>
            <c:strRef>
              <c:f>'q3 2016'!$C$6:$C$23</c:f>
              <c:strCache>
                <c:ptCount val="18"/>
                <c:pt idx="0">
                  <c:v>2012/Q4</c:v>
                </c:pt>
                <c:pt idx="1">
                  <c:v>2013/Q1</c:v>
                </c:pt>
                <c:pt idx="2">
                  <c:v>2013/Q2</c:v>
                </c:pt>
                <c:pt idx="3">
                  <c:v>2013/Q3</c:v>
                </c:pt>
                <c:pt idx="4">
                  <c:v>2013/Q4</c:v>
                </c:pt>
                <c:pt idx="5">
                  <c:v>2014/Q1</c:v>
                </c:pt>
                <c:pt idx="6">
                  <c:v>2014/Q2</c:v>
                </c:pt>
                <c:pt idx="7">
                  <c:v>2014/Q3</c:v>
                </c:pt>
                <c:pt idx="8">
                  <c:v>2014/Q4</c:v>
                </c:pt>
                <c:pt idx="9">
                  <c:v>2015/Q1</c:v>
                </c:pt>
                <c:pt idx="10">
                  <c:v>2015/Q2</c:v>
                </c:pt>
                <c:pt idx="11">
                  <c:v>2015/Q3</c:v>
                </c:pt>
                <c:pt idx="12">
                  <c:v>2015/Q4</c:v>
                </c:pt>
                <c:pt idx="13">
                  <c:v>2016/Q1</c:v>
                </c:pt>
                <c:pt idx="14">
                  <c:v>2016/Q2</c:v>
                </c:pt>
                <c:pt idx="15">
                  <c:v>2016/Q3</c:v>
                </c:pt>
                <c:pt idx="16">
                  <c:v>2016/Q4</c:v>
                </c:pt>
                <c:pt idx="17">
                  <c:v>2017/Q1</c:v>
                </c:pt>
              </c:strCache>
            </c:strRef>
          </c:cat>
          <c:val>
            <c:numRef>
              <c:f>'q3 2016'!$D$6:$D$23</c:f>
              <c:numCache>
                <c:formatCode>0;[Red]0</c:formatCode>
                <c:ptCount val="18"/>
                <c:pt idx="0">
                  <c:v>840740</c:v>
                </c:pt>
                <c:pt idx="1">
                  <c:v>701110</c:v>
                </c:pt>
                <c:pt idx="2">
                  <c:v>730676</c:v>
                </c:pt>
                <c:pt idx="3">
                  <c:v>808056</c:v>
                </c:pt>
                <c:pt idx="4">
                  <c:v>906777</c:v>
                </c:pt>
                <c:pt idx="5">
                  <c:v>767310</c:v>
                </c:pt>
                <c:pt idx="6">
                  <c:v>791600</c:v>
                </c:pt>
                <c:pt idx="7">
                  <c:v>846677</c:v>
                </c:pt>
                <c:pt idx="8">
                  <c:v>962984</c:v>
                </c:pt>
                <c:pt idx="9">
                  <c:v>812927</c:v>
                </c:pt>
                <c:pt idx="10">
                  <c:v>841094</c:v>
                </c:pt>
                <c:pt idx="11">
                  <c:v>893563</c:v>
                </c:pt>
                <c:pt idx="12">
                  <c:v>1027479</c:v>
                </c:pt>
                <c:pt idx="13">
                  <c:v>844355</c:v>
                </c:pt>
                <c:pt idx="14">
                  <c:v>868500</c:v>
                </c:pt>
                <c:pt idx="15">
                  <c:v>929600</c:v>
                </c:pt>
                <c:pt idx="16">
                  <c:v>1025018</c:v>
                </c:pt>
                <c:pt idx="17">
                  <c:v>790892</c:v>
                </c:pt>
              </c:numCache>
            </c:numRef>
          </c:val>
        </c:ser>
        <c:dLbls>
          <c:showLegendKey val="0"/>
          <c:showVal val="0"/>
          <c:showCatName val="0"/>
          <c:showSerName val="0"/>
          <c:showPercent val="0"/>
          <c:showBubbleSize val="0"/>
        </c:dLbls>
        <c:gapWidth val="150"/>
        <c:axId val="590167040"/>
        <c:axId val="590165120"/>
      </c:barChart>
      <c:lineChart>
        <c:grouping val="stacked"/>
        <c:varyColors val="0"/>
        <c:ser>
          <c:idx val="1"/>
          <c:order val="1"/>
          <c:tx>
            <c:strRef>
              <c:f>'q3 2016'!$E$4</c:f>
              <c:strCache>
                <c:ptCount val="1"/>
                <c:pt idx="0">
                  <c:v>BEEF (R/KG)</c:v>
                </c:pt>
              </c:strCache>
            </c:strRef>
          </c:tx>
          <c:spPr>
            <a:ln>
              <a:solidFill>
                <a:srgbClr val="C00000"/>
              </a:solidFill>
            </a:ln>
          </c:spPr>
          <c:marker>
            <c:symbol val="none"/>
          </c:marker>
          <c:cat>
            <c:strRef>
              <c:f>'q3 2016'!$C$6:$C$23</c:f>
              <c:strCache>
                <c:ptCount val="18"/>
                <c:pt idx="0">
                  <c:v>2012/Q4</c:v>
                </c:pt>
                <c:pt idx="1">
                  <c:v>2013/Q1</c:v>
                </c:pt>
                <c:pt idx="2">
                  <c:v>2013/Q2</c:v>
                </c:pt>
                <c:pt idx="3">
                  <c:v>2013/Q3</c:v>
                </c:pt>
                <c:pt idx="4">
                  <c:v>2013/Q4</c:v>
                </c:pt>
                <c:pt idx="5">
                  <c:v>2014/Q1</c:v>
                </c:pt>
                <c:pt idx="6">
                  <c:v>2014/Q2</c:v>
                </c:pt>
                <c:pt idx="7">
                  <c:v>2014/Q3</c:v>
                </c:pt>
                <c:pt idx="8">
                  <c:v>2014/Q4</c:v>
                </c:pt>
                <c:pt idx="9">
                  <c:v>2015/Q1</c:v>
                </c:pt>
                <c:pt idx="10">
                  <c:v>2015/Q2</c:v>
                </c:pt>
                <c:pt idx="11">
                  <c:v>2015/Q3</c:v>
                </c:pt>
                <c:pt idx="12">
                  <c:v>2015/Q4</c:v>
                </c:pt>
                <c:pt idx="13">
                  <c:v>2016/Q1</c:v>
                </c:pt>
                <c:pt idx="14">
                  <c:v>2016/Q2</c:v>
                </c:pt>
                <c:pt idx="15">
                  <c:v>2016/Q3</c:v>
                </c:pt>
                <c:pt idx="16">
                  <c:v>2016/Q4</c:v>
                </c:pt>
                <c:pt idx="17">
                  <c:v>2017/Q1</c:v>
                </c:pt>
              </c:strCache>
            </c:strRef>
          </c:cat>
          <c:val>
            <c:numRef>
              <c:f>'q3 2016'!$E$6:$E$23</c:f>
              <c:numCache>
                <c:formatCode>0.00</c:formatCode>
                <c:ptCount val="18"/>
                <c:pt idx="0">
                  <c:v>31.579000000000001</c:v>
                </c:pt>
                <c:pt idx="1">
                  <c:v>28.854666666666699</c:v>
                </c:pt>
                <c:pt idx="2">
                  <c:v>26.814</c:v>
                </c:pt>
                <c:pt idx="3">
                  <c:v>27.582333333333299</c:v>
                </c:pt>
                <c:pt idx="4">
                  <c:v>28.809000000000001</c:v>
                </c:pt>
                <c:pt idx="5">
                  <c:v>29.401666666666664</c:v>
                </c:pt>
                <c:pt idx="6">
                  <c:v>31.304333333333339</c:v>
                </c:pt>
                <c:pt idx="7">
                  <c:v>32.558399999999999</c:v>
                </c:pt>
                <c:pt idx="8">
                  <c:v>32.384</c:v>
                </c:pt>
                <c:pt idx="9">
                  <c:v>32.198666666666668</c:v>
                </c:pt>
                <c:pt idx="10">
                  <c:v>33.033666666666669</c:v>
                </c:pt>
                <c:pt idx="11">
                  <c:v>33.622666666666667</c:v>
                </c:pt>
                <c:pt idx="12">
                  <c:v>34.558466666666668</c:v>
                </c:pt>
                <c:pt idx="13">
                  <c:v>35.969333333333331</c:v>
                </c:pt>
                <c:pt idx="14">
                  <c:v>36.53</c:v>
                </c:pt>
                <c:pt idx="15">
                  <c:v>36.56</c:v>
                </c:pt>
                <c:pt idx="16">
                  <c:v>37.450000000000003</c:v>
                </c:pt>
                <c:pt idx="17">
                  <c:v>41.03</c:v>
                </c:pt>
              </c:numCache>
            </c:numRef>
          </c:val>
          <c:smooth val="0"/>
        </c:ser>
        <c:dLbls>
          <c:showLegendKey val="0"/>
          <c:showVal val="0"/>
          <c:showCatName val="0"/>
          <c:showSerName val="0"/>
          <c:showPercent val="0"/>
          <c:showBubbleSize val="0"/>
        </c:dLbls>
        <c:marker val="1"/>
        <c:smooth val="0"/>
        <c:axId val="590132736"/>
        <c:axId val="590134272"/>
      </c:lineChart>
      <c:catAx>
        <c:axId val="590132736"/>
        <c:scaling>
          <c:orientation val="minMax"/>
        </c:scaling>
        <c:delete val="0"/>
        <c:axPos val="b"/>
        <c:majorTickMark val="none"/>
        <c:minorTickMark val="none"/>
        <c:tickLblPos val="nextTo"/>
        <c:crossAx val="590134272"/>
        <c:crosses val="autoZero"/>
        <c:auto val="1"/>
        <c:lblAlgn val="ctr"/>
        <c:lblOffset val="100"/>
        <c:noMultiLvlLbl val="0"/>
      </c:catAx>
      <c:valAx>
        <c:axId val="590134272"/>
        <c:scaling>
          <c:orientation val="minMax"/>
        </c:scaling>
        <c:delete val="0"/>
        <c:axPos val="l"/>
        <c:majorGridlines/>
        <c:title>
          <c:tx>
            <c:rich>
              <a:bodyPr rot="-5400000" vert="horz"/>
              <a:lstStyle/>
              <a:p>
                <a:pPr>
                  <a:defRPr/>
                </a:pPr>
                <a:r>
                  <a:rPr lang="en-ZA"/>
                  <a:t>R/Kg</a:t>
                </a:r>
              </a:p>
            </c:rich>
          </c:tx>
          <c:layout>
            <c:manualLayout>
              <c:xMode val="edge"/>
              <c:yMode val="edge"/>
              <c:x val="8.3333333333333332E-3"/>
              <c:y val="0.2918934091571887"/>
            </c:manualLayout>
          </c:layout>
          <c:overlay val="0"/>
        </c:title>
        <c:numFmt formatCode="0.00" sourceLinked="1"/>
        <c:majorTickMark val="none"/>
        <c:minorTickMark val="none"/>
        <c:tickLblPos val="nextTo"/>
        <c:crossAx val="590132736"/>
        <c:crosses val="autoZero"/>
        <c:crossBetween val="between"/>
      </c:valAx>
      <c:valAx>
        <c:axId val="590165120"/>
        <c:scaling>
          <c:orientation val="minMax"/>
        </c:scaling>
        <c:delete val="0"/>
        <c:axPos val="r"/>
        <c:title>
          <c:tx>
            <c:rich>
              <a:bodyPr rot="-5400000" vert="horz"/>
              <a:lstStyle/>
              <a:p>
                <a:pPr>
                  <a:defRPr/>
                </a:pPr>
                <a:r>
                  <a:rPr lang="en-ZA" sz="800" b="1" i="0" baseline="0">
                    <a:effectLst/>
                  </a:rPr>
                  <a:t>Numbers</a:t>
                </a:r>
                <a:r>
                  <a:rPr lang="en-ZA" sz="1000" b="1" i="0" baseline="0">
                    <a:effectLst/>
                  </a:rPr>
                  <a:t> </a:t>
                </a:r>
                <a:r>
                  <a:rPr lang="en-ZA" sz="800" b="1" i="0" baseline="0">
                    <a:effectLst/>
                  </a:rPr>
                  <a:t>slaughtered Thousands</a:t>
                </a:r>
                <a:endParaRPr lang="en-ZA" sz="800">
                  <a:effectLst/>
                </a:endParaRPr>
              </a:p>
            </c:rich>
          </c:tx>
          <c:overlay val="0"/>
        </c:title>
        <c:numFmt formatCode="0;[Red]0" sourceLinked="1"/>
        <c:majorTickMark val="out"/>
        <c:minorTickMark val="none"/>
        <c:tickLblPos val="nextTo"/>
        <c:crossAx val="590167040"/>
        <c:crosses val="max"/>
        <c:crossBetween val="between"/>
      </c:valAx>
      <c:catAx>
        <c:axId val="590167040"/>
        <c:scaling>
          <c:orientation val="minMax"/>
        </c:scaling>
        <c:delete val="1"/>
        <c:axPos val="b"/>
        <c:majorTickMark val="out"/>
        <c:minorTickMark val="none"/>
        <c:tickLblPos val="nextTo"/>
        <c:crossAx val="590165120"/>
        <c:crosses val="autoZero"/>
        <c:auto val="1"/>
        <c:lblAlgn val="ctr"/>
        <c:lblOffset val="100"/>
        <c:noMultiLvlLbl val="0"/>
      </c:catAx>
    </c:plotArea>
    <c:legend>
      <c:legendPos val="b"/>
      <c:overlay val="0"/>
    </c:legend>
    <c:plotVisOnly val="1"/>
    <c:dispBlanksAs val="gap"/>
    <c:showDLblsOverMax val="0"/>
  </c:chart>
  <c:spPr>
    <a:solidFill>
      <a:schemeClr val="accent3">
        <a:lumMod val="20000"/>
        <a:lumOff val="80000"/>
      </a:schemeClr>
    </a:solidFill>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'Beef DAFF'!$N$35</c:f>
              <c:strCache>
                <c:ptCount val="1"/>
                <c:pt idx="0">
                  <c:v>Weaner Calf Purchases</c:v>
                </c:pt>
              </c:strCache>
            </c:strRef>
          </c:tx>
          <c:spPr>
            <a:ln>
              <a:solidFill>
                <a:schemeClr val="tx1"/>
              </a:solidFill>
            </a:ln>
          </c:spPr>
          <c:marker>
            <c:symbol val="none"/>
          </c:marker>
          <c:cat>
            <c:numRef>
              <c:f>'Beef DAFF'!$M$36:$M$50</c:f>
              <c:numCache>
                <c:formatCode>mmm\-yy</c:formatCode>
                <c:ptCount val="15"/>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numCache>
            </c:numRef>
          </c:cat>
          <c:val>
            <c:numRef>
              <c:f>'Beef DAFF'!$N$36:$N$50</c:f>
              <c:numCache>
                <c:formatCode>General</c:formatCode>
                <c:ptCount val="15"/>
                <c:pt idx="0" formatCode="0.00;[Red]0.00">
                  <c:v>18.61</c:v>
                </c:pt>
                <c:pt idx="1">
                  <c:v>18.5</c:v>
                </c:pt>
                <c:pt idx="2">
                  <c:v>20.85</c:v>
                </c:pt>
                <c:pt idx="3">
                  <c:v>20.149999999999999</c:v>
                </c:pt>
                <c:pt idx="4">
                  <c:v>19.89</c:v>
                </c:pt>
                <c:pt idx="5">
                  <c:v>19.920000000000002</c:v>
                </c:pt>
                <c:pt idx="6">
                  <c:v>19.72</c:v>
                </c:pt>
                <c:pt idx="7">
                  <c:v>20.85</c:v>
                </c:pt>
                <c:pt idx="8">
                  <c:v>21.31</c:v>
                </c:pt>
                <c:pt idx="9">
                  <c:v>21</c:v>
                </c:pt>
                <c:pt idx="10">
                  <c:v>21.17</c:v>
                </c:pt>
                <c:pt idx="11">
                  <c:v>22.31</c:v>
                </c:pt>
                <c:pt idx="12">
                  <c:v>24.87</c:v>
                </c:pt>
                <c:pt idx="13">
                  <c:v>25.06</c:v>
                </c:pt>
                <c:pt idx="14">
                  <c:v>26.77</c:v>
                </c:pt>
              </c:numCache>
            </c:numRef>
          </c:val>
          <c:smooth val="0"/>
        </c:ser>
        <c:ser>
          <c:idx val="1"/>
          <c:order val="1"/>
          <c:tx>
            <c:strRef>
              <c:f>'Beef DAFF'!$O$35</c:f>
              <c:strCache>
                <c:ptCount val="1"/>
                <c:pt idx="0">
                  <c:v>Beef carcase sales</c:v>
                </c:pt>
              </c:strCache>
            </c:strRef>
          </c:tx>
          <c:marker>
            <c:symbol val="none"/>
          </c:marker>
          <c:cat>
            <c:numRef>
              <c:f>'Beef DAFF'!$M$36:$M$50</c:f>
              <c:numCache>
                <c:formatCode>mmm\-yy</c:formatCode>
                <c:ptCount val="15"/>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numCache>
            </c:numRef>
          </c:cat>
          <c:val>
            <c:numRef>
              <c:f>'Beef DAFF'!$O$36:$O$50</c:f>
              <c:numCache>
                <c:formatCode>General</c:formatCode>
                <c:ptCount val="15"/>
                <c:pt idx="0">
                  <c:v>35.11</c:v>
                </c:pt>
                <c:pt idx="1">
                  <c:v>37.32</c:v>
                </c:pt>
                <c:pt idx="2">
                  <c:v>39.19</c:v>
                </c:pt>
                <c:pt idx="3">
                  <c:v>38.47</c:v>
                </c:pt>
                <c:pt idx="4">
                  <c:v>38.49</c:v>
                </c:pt>
                <c:pt idx="5">
                  <c:v>38.03</c:v>
                </c:pt>
                <c:pt idx="6">
                  <c:v>37.630000000000003</c:v>
                </c:pt>
                <c:pt idx="7">
                  <c:v>37.85</c:v>
                </c:pt>
                <c:pt idx="8">
                  <c:v>38.25</c:v>
                </c:pt>
                <c:pt idx="9">
                  <c:v>37.92</c:v>
                </c:pt>
                <c:pt idx="10">
                  <c:v>37.15</c:v>
                </c:pt>
                <c:pt idx="11">
                  <c:v>39.53</c:v>
                </c:pt>
                <c:pt idx="12">
                  <c:v>37.44</c:v>
                </c:pt>
                <c:pt idx="13">
                  <c:v>43.05</c:v>
                </c:pt>
                <c:pt idx="14">
                  <c:v>43.94</c:v>
                </c:pt>
              </c:numCache>
            </c:numRef>
          </c:val>
          <c:smooth val="0"/>
        </c:ser>
        <c:ser>
          <c:idx val="2"/>
          <c:order val="2"/>
          <c:tx>
            <c:strRef>
              <c:f>'Beef DAFF'!$P$35</c:f>
              <c:strCache>
                <c:ptCount val="1"/>
                <c:pt idx="0">
                  <c:v>Live Sales</c:v>
                </c:pt>
              </c:strCache>
            </c:strRef>
          </c:tx>
          <c:spPr>
            <a:ln>
              <a:solidFill>
                <a:srgbClr val="005600"/>
              </a:solidFill>
            </a:ln>
          </c:spPr>
          <c:marker>
            <c:symbol val="none"/>
          </c:marker>
          <c:cat>
            <c:numRef>
              <c:f>'Beef DAFF'!$M$36:$M$50</c:f>
              <c:numCache>
                <c:formatCode>mmm\-yy</c:formatCode>
                <c:ptCount val="15"/>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numCache>
            </c:numRef>
          </c:cat>
          <c:val>
            <c:numRef>
              <c:f>'Beef DAFF'!$P$36:$P$50</c:f>
              <c:numCache>
                <c:formatCode>General</c:formatCode>
                <c:ptCount val="15"/>
                <c:pt idx="0">
                  <c:v>20.48</c:v>
                </c:pt>
                <c:pt idx="1">
                  <c:v>22.02</c:v>
                </c:pt>
                <c:pt idx="2">
                  <c:v>22.82</c:v>
                </c:pt>
                <c:pt idx="3">
                  <c:v>22.7</c:v>
                </c:pt>
                <c:pt idx="4">
                  <c:v>22.61</c:v>
                </c:pt>
                <c:pt idx="5">
                  <c:v>22.22</c:v>
                </c:pt>
                <c:pt idx="6">
                  <c:v>22</c:v>
                </c:pt>
                <c:pt idx="7">
                  <c:v>22.19</c:v>
                </c:pt>
                <c:pt idx="8">
                  <c:v>22.38</c:v>
                </c:pt>
                <c:pt idx="9">
                  <c:v>22.2</c:v>
                </c:pt>
                <c:pt idx="10">
                  <c:v>21.81</c:v>
                </c:pt>
                <c:pt idx="11">
                  <c:v>23.02</c:v>
                </c:pt>
                <c:pt idx="12">
                  <c:v>23.21</c:v>
                </c:pt>
                <c:pt idx="13">
                  <c:v>26.09</c:v>
                </c:pt>
                <c:pt idx="14">
                  <c:v>25.72</c:v>
                </c:pt>
              </c:numCache>
            </c:numRef>
          </c:val>
          <c:smooth val="0"/>
        </c:ser>
        <c:dLbls>
          <c:showLegendKey val="0"/>
          <c:showVal val="0"/>
          <c:showCatName val="0"/>
          <c:showSerName val="0"/>
          <c:showPercent val="0"/>
          <c:showBubbleSize val="0"/>
        </c:dLbls>
        <c:marker val="1"/>
        <c:smooth val="0"/>
        <c:axId val="590422400"/>
        <c:axId val="590423936"/>
      </c:lineChart>
      <c:dateAx>
        <c:axId val="590422400"/>
        <c:scaling>
          <c:orientation val="minMax"/>
        </c:scaling>
        <c:delete val="0"/>
        <c:axPos val="b"/>
        <c:numFmt formatCode="mmm\-yy" sourceLinked="1"/>
        <c:majorTickMark val="out"/>
        <c:minorTickMark val="none"/>
        <c:tickLblPos val="nextTo"/>
        <c:crossAx val="590423936"/>
        <c:crosses val="autoZero"/>
        <c:auto val="1"/>
        <c:lblOffset val="100"/>
        <c:baseTimeUnit val="months"/>
        <c:majorUnit val="1"/>
        <c:majorTimeUnit val="months"/>
      </c:dateAx>
      <c:valAx>
        <c:axId val="590423936"/>
        <c:scaling>
          <c:orientation val="minMax"/>
        </c:scaling>
        <c:delete val="0"/>
        <c:axPos val="l"/>
        <c:majorGridlines/>
        <c:title>
          <c:tx>
            <c:rich>
              <a:bodyPr rot="-5400000" vert="horz"/>
              <a:lstStyle/>
              <a:p>
                <a:pPr>
                  <a:defRPr/>
                </a:pPr>
                <a:r>
                  <a:rPr lang="en-ZA"/>
                  <a:t>Rc/Kg</a:t>
                </a:r>
              </a:p>
            </c:rich>
          </c:tx>
          <c:overlay val="0"/>
        </c:title>
        <c:numFmt formatCode="0.00;[Red]0.00" sourceLinked="1"/>
        <c:majorTickMark val="out"/>
        <c:minorTickMark val="none"/>
        <c:tickLblPos val="nextTo"/>
        <c:crossAx val="590422400"/>
        <c:crosses val="autoZero"/>
        <c:crossBetween val="between"/>
      </c:valAx>
    </c:plotArea>
    <c:legend>
      <c:legendPos val="b"/>
      <c:overlay val="0"/>
    </c:legend>
    <c:plotVisOnly val="1"/>
    <c:dispBlanksAs val="gap"/>
    <c:showDLblsOverMax val="0"/>
  </c:chart>
  <c:spPr>
    <a:solidFill>
      <a:schemeClr val="accent3">
        <a:lumMod val="40000"/>
        <a:lumOff val="60000"/>
      </a:schemeClr>
    </a:solidFill>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87729658792651"/>
          <c:y val="5.1400554097404488E-2"/>
          <c:w val="0.79594160104986877"/>
          <c:h val="0.67132983377077871"/>
        </c:manualLayout>
      </c:layout>
      <c:barChart>
        <c:barDir val="col"/>
        <c:grouping val="clustered"/>
        <c:varyColors val="0"/>
        <c:ser>
          <c:idx val="7"/>
          <c:order val="0"/>
          <c:tx>
            <c:strRef>
              <c:f>Sheet1!$F$2</c:f>
              <c:strCache>
                <c:ptCount val="1"/>
                <c:pt idx="0">
                  <c:v>Total Poultry</c:v>
                </c:pt>
              </c:strCache>
            </c:strRef>
          </c:tx>
          <c:spPr>
            <a:solidFill>
              <a:schemeClr val="accent3">
                <a:lumMod val="50000"/>
              </a:schemeClr>
            </a:solidFill>
          </c:spPr>
          <c:invertIfNegative val="0"/>
          <c:cat>
            <c:strRef>
              <c:f>Sheet1!$A$12:$A$28</c:f>
              <c:strCache>
                <c:ptCount val="17"/>
                <c:pt idx="0">
                  <c:v>2013/Q1</c:v>
                </c:pt>
                <c:pt idx="1">
                  <c:v>2013/Q2</c:v>
                </c:pt>
                <c:pt idx="2">
                  <c:v>2013/Q3</c:v>
                </c:pt>
                <c:pt idx="3">
                  <c:v>2013/Q4</c:v>
                </c:pt>
                <c:pt idx="4">
                  <c:v>2014/Q1</c:v>
                </c:pt>
                <c:pt idx="5">
                  <c:v>2014/Q2</c:v>
                </c:pt>
                <c:pt idx="6">
                  <c:v>2014/Q3</c:v>
                </c:pt>
                <c:pt idx="7">
                  <c:v>2014/Q4</c:v>
                </c:pt>
                <c:pt idx="8">
                  <c:v>2015/Q1</c:v>
                </c:pt>
                <c:pt idx="9">
                  <c:v>2015/Q2</c:v>
                </c:pt>
                <c:pt idx="10">
                  <c:v>2015/Q3</c:v>
                </c:pt>
                <c:pt idx="11">
                  <c:v>2015/Q4</c:v>
                </c:pt>
                <c:pt idx="12">
                  <c:v>2016/Q1</c:v>
                </c:pt>
                <c:pt idx="13">
                  <c:v>2016/Q2</c:v>
                </c:pt>
                <c:pt idx="14">
                  <c:v>2016/Q3</c:v>
                </c:pt>
                <c:pt idx="15">
                  <c:v>2016/Q4</c:v>
                </c:pt>
                <c:pt idx="16">
                  <c:v>2017/Q1</c:v>
                </c:pt>
              </c:strCache>
            </c:strRef>
          </c:cat>
          <c:val>
            <c:numRef>
              <c:f>Sheet1!$F$12:$F$28</c:f>
              <c:numCache>
                <c:formatCode>0</c:formatCode>
                <c:ptCount val="17"/>
                <c:pt idx="0">
                  <c:v>401921.49599999998</c:v>
                </c:pt>
                <c:pt idx="1">
                  <c:v>401921.49599999998</c:v>
                </c:pt>
                <c:pt idx="2">
                  <c:v>417982.70600000001</c:v>
                </c:pt>
                <c:pt idx="3">
                  <c:v>450105.12600000005</c:v>
                </c:pt>
                <c:pt idx="4">
                  <c:v>412786.32</c:v>
                </c:pt>
                <c:pt idx="5">
                  <c:v>412786.32</c:v>
                </c:pt>
                <c:pt idx="6">
                  <c:v>429295.25</c:v>
                </c:pt>
                <c:pt idx="7">
                  <c:v>462313.11000000004</c:v>
                </c:pt>
                <c:pt idx="8">
                  <c:v>431103.34</c:v>
                </c:pt>
                <c:pt idx="9">
                  <c:v>431103.34</c:v>
                </c:pt>
                <c:pt idx="10">
                  <c:v>448343.75</c:v>
                </c:pt>
                <c:pt idx="11">
                  <c:v>482824.57</c:v>
                </c:pt>
                <c:pt idx="12">
                  <c:v>434468</c:v>
                </c:pt>
                <c:pt idx="13">
                  <c:v>442349.07</c:v>
                </c:pt>
                <c:pt idx="14">
                  <c:v>458565</c:v>
                </c:pt>
                <c:pt idx="15">
                  <c:v>486883</c:v>
                </c:pt>
                <c:pt idx="16">
                  <c:v>438876.65050000005</c:v>
                </c:pt>
              </c:numCache>
            </c:numRef>
          </c:val>
        </c:ser>
        <c:dLbls>
          <c:showLegendKey val="0"/>
          <c:showVal val="0"/>
          <c:showCatName val="0"/>
          <c:showSerName val="0"/>
          <c:showPercent val="0"/>
          <c:showBubbleSize val="0"/>
        </c:dLbls>
        <c:gapWidth val="150"/>
        <c:axId val="590581760"/>
        <c:axId val="590583296"/>
      </c:barChart>
      <c:lineChart>
        <c:grouping val="standard"/>
        <c:varyColors val="0"/>
        <c:ser>
          <c:idx val="0"/>
          <c:order val="1"/>
          <c:tx>
            <c:strRef>
              <c:f>Sheet1!$G$2</c:f>
              <c:strCache>
                <c:ptCount val="1"/>
                <c:pt idx="0">
                  <c:v>R/Ton</c:v>
                </c:pt>
              </c:strCache>
            </c:strRef>
          </c:tx>
          <c:spPr>
            <a:ln>
              <a:solidFill>
                <a:srgbClr val="D8A851"/>
              </a:solidFill>
            </a:ln>
          </c:spPr>
          <c:marker>
            <c:symbol val="none"/>
          </c:marker>
          <c:cat>
            <c:strRef>
              <c:f>Sheet1!$A$11:$A$27</c:f>
              <c:strCache>
                <c:ptCount val="17"/>
                <c:pt idx="0">
                  <c:v>2012/Q4</c:v>
                </c:pt>
                <c:pt idx="1">
                  <c:v>2013/Q1</c:v>
                </c:pt>
                <c:pt idx="2">
                  <c:v>2013/Q2</c:v>
                </c:pt>
                <c:pt idx="3">
                  <c:v>2013/Q3</c:v>
                </c:pt>
                <c:pt idx="4">
                  <c:v>2013/Q4</c:v>
                </c:pt>
                <c:pt idx="5">
                  <c:v>2014/Q1</c:v>
                </c:pt>
                <c:pt idx="6">
                  <c:v>2014/Q2</c:v>
                </c:pt>
                <c:pt idx="7">
                  <c:v>2014/Q3</c:v>
                </c:pt>
                <c:pt idx="8">
                  <c:v>2014/Q4</c:v>
                </c:pt>
                <c:pt idx="9">
                  <c:v>2015/Q1</c:v>
                </c:pt>
                <c:pt idx="10">
                  <c:v>2015/Q2</c:v>
                </c:pt>
                <c:pt idx="11">
                  <c:v>2015/Q3</c:v>
                </c:pt>
                <c:pt idx="12">
                  <c:v>2015/Q4</c:v>
                </c:pt>
                <c:pt idx="13">
                  <c:v>2016/Q1</c:v>
                </c:pt>
                <c:pt idx="14">
                  <c:v>2016/Q2</c:v>
                </c:pt>
                <c:pt idx="15">
                  <c:v>2016/Q3</c:v>
                </c:pt>
                <c:pt idx="16">
                  <c:v>2016/Q4</c:v>
                </c:pt>
              </c:strCache>
            </c:strRef>
          </c:cat>
          <c:val>
            <c:numRef>
              <c:f>Sheet1!$G$12:$G$28</c:f>
              <c:numCache>
                <c:formatCode>0</c:formatCode>
                <c:ptCount val="17"/>
                <c:pt idx="0">
                  <c:v>16788.87</c:v>
                </c:pt>
                <c:pt idx="1">
                  <c:v>17229.04</c:v>
                </c:pt>
                <c:pt idx="2">
                  <c:v>17963.95</c:v>
                </c:pt>
                <c:pt idx="3">
                  <c:v>21088.78</c:v>
                </c:pt>
                <c:pt idx="4">
                  <c:v>19204.490000000002</c:v>
                </c:pt>
                <c:pt idx="5">
                  <c:v>19728.52</c:v>
                </c:pt>
                <c:pt idx="6">
                  <c:v>19066.25</c:v>
                </c:pt>
                <c:pt idx="7">
                  <c:v>21544.32</c:v>
                </c:pt>
                <c:pt idx="8">
                  <c:v>22399.39</c:v>
                </c:pt>
                <c:pt idx="9">
                  <c:v>21864.07</c:v>
                </c:pt>
                <c:pt idx="10">
                  <c:v>20684.87</c:v>
                </c:pt>
                <c:pt idx="11">
                  <c:v>21654.7</c:v>
                </c:pt>
                <c:pt idx="12">
                  <c:v>21392.5</c:v>
                </c:pt>
                <c:pt idx="13">
                  <c:v>21643.73</c:v>
                </c:pt>
                <c:pt idx="14">
                  <c:v>20456.7</c:v>
                </c:pt>
                <c:pt idx="15">
                  <c:v>24279.95</c:v>
                </c:pt>
                <c:pt idx="16" formatCode="General">
                  <c:v>26538.87</c:v>
                </c:pt>
              </c:numCache>
            </c:numRef>
          </c:val>
          <c:smooth val="0"/>
        </c:ser>
        <c:dLbls>
          <c:showLegendKey val="0"/>
          <c:showVal val="0"/>
          <c:showCatName val="0"/>
          <c:showSerName val="0"/>
          <c:showPercent val="0"/>
          <c:showBubbleSize val="0"/>
        </c:dLbls>
        <c:marker val="1"/>
        <c:smooth val="0"/>
        <c:axId val="590595200"/>
        <c:axId val="590585216"/>
      </c:lineChart>
      <c:catAx>
        <c:axId val="590581760"/>
        <c:scaling>
          <c:orientation val="minMax"/>
        </c:scaling>
        <c:delete val="0"/>
        <c:axPos val="b"/>
        <c:numFmt formatCode="General" sourceLinked="1"/>
        <c:majorTickMark val="out"/>
        <c:minorTickMark val="none"/>
        <c:tickLblPos val="nextTo"/>
        <c:crossAx val="590583296"/>
        <c:crosses val="autoZero"/>
        <c:auto val="1"/>
        <c:lblAlgn val="ctr"/>
        <c:lblOffset val="100"/>
        <c:noMultiLvlLbl val="0"/>
      </c:catAx>
      <c:valAx>
        <c:axId val="590583296"/>
        <c:scaling>
          <c:orientation val="minMax"/>
        </c:scaling>
        <c:delete val="0"/>
        <c:axPos val="l"/>
        <c:numFmt formatCode="0" sourceLinked="1"/>
        <c:majorTickMark val="out"/>
        <c:minorTickMark val="none"/>
        <c:tickLblPos val="nextTo"/>
        <c:crossAx val="590581760"/>
        <c:crosses val="autoZero"/>
        <c:crossBetween val="between"/>
        <c:dispUnits>
          <c:builtInUnit val="thousands"/>
          <c:dispUnitsLbl>
            <c:layout>
              <c:manualLayout>
                <c:xMode val="edge"/>
                <c:yMode val="edge"/>
                <c:x val="1.3779527559055116E-5"/>
                <c:y val="0.21343759113444152"/>
              </c:manualLayout>
            </c:layout>
            <c:tx>
              <c:rich>
                <a:bodyPr/>
                <a:lstStyle/>
                <a:p>
                  <a:pPr>
                    <a:defRPr b="0"/>
                  </a:pPr>
                  <a:r>
                    <a:rPr lang="en-ZA" b="0"/>
                    <a:t>Thousands Tons</a:t>
                  </a:r>
                </a:p>
              </c:rich>
            </c:tx>
          </c:dispUnitsLbl>
        </c:dispUnits>
      </c:valAx>
      <c:valAx>
        <c:axId val="590585216"/>
        <c:scaling>
          <c:orientation val="minMax"/>
          <c:min val="15000"/>
        </c:scaling>
        <c:delete val="0"/>
        <c:axPos val="r"/>
        <c:numFmt formatCode="0" sourceLinked="1"/>
        <c:majorTickMark val="out"/>
        <c:minorTickMark val="none"/>
        <c:tickLblPos val="nextTo"/>
        <c:crossAx val="590595200"/>
        <c:crosses val="max"/>
        <c:crossBetween val="between"/>
      </c:valAx>
      <c:catAx>
        <c:axId val="590595200"/>
        <c:scaling>
          <c:orientation val="minMax"/>
        </c:scaling>
        <c:delete val="1"/>
        <c:axPos val="b"/>
        <c:majorTickMark val="out"/>
        <c:minorTickMark val="none"/>
        <c:tickLblPos val="nextTo"/>
        <c:crossAx val="590585216"/>
        <c:crosses val="autoZero"/>
        <c:auto val="1"/>
        <c:lblAlgn val="ctr"/>
        <c:lblOffset val="100"/>
        <c:noMultiLvlLbl val="0"/>
      </c:catAx>
    </c:plotArea>
    <c:legend>
      <c:legendPos val="r"/>
      <c:layout>
        <c:manualLayout>
          <c:xMode val="edge"/>
          <c:yMode val="edge"/>
          <c:x val="0.24667957130358706"/>
          <c:y val="0.90702354913969085"/>
          <c:w val="0.50609820647419068"/>
          <c:h val="8.8730679498396026E-2"/>
        </c:manualLayout>
      </c:layout>
      <c:overlay val="0"/>
    </c:legend>
    <c:plotVisOnly val="1"/>
    <c:dispBlanksAs val="gap"/>
    <c:showDLblsOverMax val="0"/>
  </c:chart>
  <c:spPr>
    <a:solidFill>
      <a:schemeClr val="accent3">
        <a:lumMod val="20000"/>
        <a:lumOff val="80000"/>
      </a:schemeClr>
    </a:solidFill>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Figure5!$A$18</c:f>
              <c:strCache>
                <c:ptCount val="1"/>
                <c:pt idx="0">
                  <c:v>2016/Q1</c:v>
                </c:pt>
              </c:strCache>
            </c:strRef>
          </c:tx>
          <c:spPr>
            <a:solidFill>
              <a:srgbClr val="005D28"/>
            </a:solidFill>
          </c:spPr>
          <c:invertIfNegative val="0"/>
          <c:cat>
            <c:strRef>
              <c:f>Figure5!$B$5:$G$5</c:f>
              <c:strCache>
                <c:ptCount val="6"/>
                <c:pt idx="0">
                  <c:v>Food Price Index</c:v>
                </c:pt>
                <c:pt idx="1">
                  <c:v>Meat Price Index</c:v>
                </c:pt>
                <c:pt idx="2">
                  <c:v>Dairy Price Index</c:v>
                </c:pt>
                <c:pt idx="3">
                  <c:v>Cereals Price Index</c:v>
                </c:pt>
                <c:pt idx="4">
                  <c:v>Oils Price Index</c:v>
                </c:pt>
                <c:pt idx="5">
                  <c:v>Sugar Price Index</c:v>
                </c:pt>
              </c:strCache>
            </c:strRef>
          </c:cat>
          <c:val>
            <c:numRef>
              <c:f>Figure5!$B$18:$G$18</c:f>
              <c:numCache>
                <c:formatCode>0.00</c:formatCode>
                <c:ptCount val="6"/>
                <c:pt idx="0">
                  <c:v>149.89000000000001</c:v>
                </c:pt>
                <c:pt idx="1">
                  <c:v>145.80000000000001</c:v>
                </c:pt>
                <c:pt idx="2">
                  <c:v>139.13</c:v>
                </c:pt>
                <c:pt idx="3">
                  <c:v>148.30000000000001</c:v>
                </c:pt>
                <c:pt idx="4">
                  <c:v>149.73999999999998</c:v>
                </c:pt>
                <c:pt idx="5">
                  <c:v>201.84</c:v>
                </c:pt>
              </c:numCache>
            </c:numRef>
          </c:val>
        </c:ser>
        <c:ser>
          <c:idx val="1"/>
          <c:order val="1"/>
          <c:tx>
            <c:strRef>
              <c:f>Figure5!$A$22</c:f>
              <c:strCache>
                <c:ptCount val="1"/>
                <c:pt idx="0">
                  <c:v>2017/Q1</c:v>
                </c:pt>
              </c:strCache>
            </c:strRef>
          </c:tx>
          <c:spPr>
            <a:solidFill>
              <a:srgbClr val="D8A851"/>
            </a:solidFill>
          </c:spPr>
          <c:invertIfNegative val="0"/>
          <c:cat>
            <c:strRef>
              <c:f>Figure5!$B$5:$G$5</c:f>
              <c:strCache>
                <c:ptCount val="6"/>
                <c:pt idx="0">
                  <c:v>Food Price Index</c:v>
                </c:pt>
                <c:pt idx="1">
                  <c:v>Meat Price Index</c:v>
                </c:pt>
                <c:pt idx="2">
                  <c:v>Dairy Price Index</c:v>
                </c:pt>
                <c:pt idx="3">
                  <c:v>Cereals Price Index</c:v>
                </c:pt>
                <c:pt idx="4">
                  <c:v>Oils Price Index</c:v>
                </c:pt>
                <c:pt idx="5">
                  <c:v>Sugar Price Index</c:v>
                </c:pt>
              </c:strCache>
            </c:strRef>
          </c:cat>
          <c:val>
            <c:numRef>
              <c:f>Figure5!$B$22:$G$22</c:f>
              <c:numCache>
                <c:formatCode>0.00</c:formatCode>
                <c:ptCount val="6"/>
                <c:pt idx="0">
                  <c:v>173.74426159156013</c:v>
                </c:pt>
                <c:pt idx="1">
                  <c:v>161.27479215066873</c:v>
                </c:pt>
                <c:pt idx="2">
                  <c:v>192.33235663256607</c:v>
                </c:pt>
                <c:pt idx="3">
                  <c:v>148.40745839841645</c:v>
                </c:pt>
                <c:pt idx="4">
                  <c:v>177.53137731799345</c:v>
                </c:pt>
                <c:pt idx="5">
                  <c:v>277.65563448208854</c:v>
                </c:pt>
              </c:numCache>
            </c:numRef>
          </c:val>
        </c:ser>
        <c:dLbls>
          <c:showLegendKey val="0"/>
          <c:showVal val="0"/>
          <c:showCatName val="0"/>
          <c:showSerName val="0"/>
          <c:showPercent val="0"/>
          <c:showBubbleSize val="0"/>
        </c:dLbls>
        <c:gapWidth val="150"/>
        <c:axId val="552159488"/>
        <c:axId val="552185856"/>
      </c:barChart>
      <c:catAx>
        <c:axId val="55215948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52185856"/>
        <c:crosses val="autoZero"/>
        <c:auto val="1"/>
        <c:lblAlgn val="ctr"/>
        <c:lblOffset val="100"/>
        <c:noMultiLvlLbl val="0"/>
      </c:catAx>
      <c:valAx>
        <c:axId val="55218585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ZA"/>
                  <a:t>Indices</a:t>
                </a:r>
              </a:p>
            </c:rich>
          </c:tx>
          <c:overlay val="0"/>
        </c:title>
        <c:numFmt formatCode="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52159488"/>
        <c:crosses val="autoZero"/>
        <c:crossBetween val="between"/>
      </c:valAx>
    </c:plotArea>
    <c:legend>
      <c:legendPos val="b"/>
      <c:overlay val="0"/>
      <c:txPr>
        <a:bodyPr/>
        <a:lstStyle/>
        <a:p>
          <a:pPr>
            <a:defRPr sz="775"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chemeClr val="accent3">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3079615048119"/>
          <c:y val="5.1400554097404488E-2"/>
          <c:w val="0.88291272965879275"/>
          <c:h val="0.66611728757785871"/>
        </c:manualLayout>
      </c:layout>
      <c:lineChart>
        <c:grouping val="standard"/>
        <c:varyColors val="0"/>
        <c:ser>
          <c:idx val="0"/>
          <c:order val="0"/>
          <c:tx>
            <c:strRef>
              <c:f>'[Chart in Microsoft Word]Sheet1'!$DC$27</c:f>
              <c:strCache>
                <c:ptCount val="1"/>
                <c:pt idx="0">
                  <c:v>Chicken Whole - Fresh</c:v>
                </c:pt>
              </c:strCache>
            </c:strRef>
          </c:tx>
          <c:marker>
            <c:symbol val="none"/>
          </c:marker>
          <c:cat>
            <c:numRef>
              <c:f>'[Chart in Microsoft Word]Sheet1'!$EO$22:$HA$22</c:f>
              <c:numCache>
                <c:formatCode>mmm\-yy</c:formatCode>
                <c:ptCount val="65"/>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numCache>
            </c:numRef>
          </c:cat>
          <c:val>
            <c:numRef>
              <c:f>'[Chart in Microsoft Word]Sheet1'!$EO$27:$HA$27</c:f>
              <c:numCache>
                <c:formatCode>0.00</c:formatCode>
                <c:ptCount val="65"/>
                <c:pt idx="0">
                  <c:v>1.0577641862045533</c:v>
                </c:pt>
                <c:pt idx="1">
                  <c:v>1.0706761807679239</c:v>
                </c:pt>
                <c:pt idx="2">
                  <c:v>1.0618416581719334</c:v>
                </c:pt>
                <c:pt idx="3">
                  <c:v>1.0767923887189943</c:v>
                </c:pt>
                <c:pt idx="4">
                  <c:v>1.0570846075433231</c:v>
                </c:pt>
                <c:pt idx="5">
                  <c:v>1.0642201834862386</c:v>
                </c:pt>
                <c:pt idx="6">
                  <c:v>1.0482500849473326</c:v>
                </c:pt>
                <c:pt idx="7">
                  <c:v>1.0713557594291541</c:v>
                </c:pt>
                <c:pt idx="8">
                  <c:v>1.1202854230377166</c:v>
                </c:pt>
                <c:pt idx="9">
                  <c:v>1.1539245667686036</c:v>
                </c:pt>
                <c:pt idx="10">
                  <c:v>1.1590214067278288</c:v>
                </c:pt>
                <c:pt idx="11">
                  <c:v>1.1885830784913354</c:v>
                </c:pt>
                <c:pt idx="12">
                  <c:v>1.1848453958545702</c:v>
                </c:pt>
                <c:pt idx="13">
                  <c:v>1.1430513081889229</c:v>
                </c:pt>
                <c:pt idx="14">
                  <c:v>1.1331974176010873</c:v>
                </c:pt>
                <c:pt idx="15">
                  <c:v>1.1732925586136596</c:v>
                </c:pt>
                <c:pt idx="16">
                  <c:v>1.1484879374787631</c:v>
                </c:pt>
                <c:pt idx="17">
                  <c:v>1.1739721372748895</c:v>
                </c:pt>
                <c:pt idx="18">
                  <c:v>1.1542643560992185</c:v>
                </c:pt>
                <c:pt idx="19">
                  <c:v>1.147128780156303</c:v>
                </c:pt>
                <c:pt idx="20">
                  <c:v>1.1678559293238191</c:v>
                </c:pt>
                <c:pt idx="21">
                  <c:v>1.2123683316343867</c:v>
                </c:pt>
                <c:pt idx="22">
                  <c:v>1.2076112810057764</c:v>
                </c:pt>
                <c:pt idx="23">
                  <c:v>1.2164458036017669</c:v>
                </c:pt>
                <c:pt idx="24">
                  <c:v>1.2300373768263677</c:v>
                </c:pt>
                <c:pt idx="25">
                  <c:v>1.2531430513081889</c:v>
                </c:pt>
                <c:pt idx="26">
                  <c:v>1.2796466190961602</c:v>
                </c:pt>
                <c:pt idx="27">
                  <c:v>1.2840638803941555</c:v>
                </c:pt>
                <c:pt idx="28">
                  <c:v>1.2626571525654093</c:v>
                </c:pt>
                <c:pt idx="29">
                  <c:v>1.2874617737003058</c:v>
                </c:pt>
                <c:pt idx="30">
                  <c:v>1.2901800883452259</c:v>
                </c:pt>
                <c:pt idx="31">
                  <c:v>1.2799864084267756</c:v>
                </c:pt>
                <c:pt idx="32">
                  <c:v>1.271831464492015</c:v>
                </c:pt>
                <c:pt idx="33">
                  <c:v>1.3194019707781175</c:v>
                </c:pt>
                <c:pt idx="34">
                  <c:v>1.2976554536187563</c:v>
                </c:pt>
                <c:pt idx="35">
                  <c:v>1.3180428134556574</c:v>
                </c:pt>
                <c:pt idx="36">
                  <c:v>1.3442065919130139</c:v>
                </c:pt>
                <c:pt idx="37">
                  <c:v>1.3438668025823988</c:v>
                </c:pt>
                <c:pt idx="38">
                  <c:v>1.3414882772680936</c:v>
                </c:pt>
                <c:pt idx="39">
                  <c:v>1.3380903839619438</c:v>
                </c:pt>
                <c:pt idx="40">
                  <c:v>1.3272171253822631</c:v>
                </c:pt>
                <c:pt idx="41">
                  <c:v>1.3255181787291879</c:v>
                </c:pt>
                <c:pt idx="42">
                  <c:v>1.3577981651376148</c:v>
                </c:pt>
                <c:pt idx="43">
                  <c:v>1.3465851172273191</c:v>
                </c:pt>
                <c:pt idx="44">
                  <c:v>1.3180428134556574</c:v>
                </c:pt>
                <c:pt idx="45">
                  <c:v>1.3550798504926946</c:v>
                </c:pt>
                <c:pt idx="46">
                  <c:v>1.3516819571865444</c:v>
                </c:pt>
                <c:pt idx="47">
                  <c:v>1.380903839619436</c:v>
                </c:pt>
                <c:pt idx="48">
                  <c:v>1.3992524634726469</c:v>
                </c:pt>
                <c:pt idx="49">
                  <c:v>1.4142031940197077</c:v>
                </c:pt>
                <c:pt idx="50">
                  <c:v>1.3873598369011213</c:v>
                </c:pt>
                <c:pt idx="51">
                  <c:v>1.4206591913013933</c:v>
                </c:pt>
                <c:pt idx="52">
                  <c:v>1.4199796126401631</c:v>
                </c:pt>
                <c:pt idx="53">
                  <c:v>1.4328916072035338</c:v>
                </c:pt>
                <c:pt idx="54">
                  <c:v>1.4281345565749235</c:v>
                </c:pt>
                <c:pt idx="55">
                  <c:v>1.4213387699626232</c:v>
                </c:pt>
                <c:pt idx="56">
                  <c:v>1.4131838260278629</c:v>
                </c:pt>
                <c:pt idx="57">
                  <c:v>1.4515800203873599</c:v>
                </c:pt>
                <c:pt idx="58">
                  <c:v>1.4301732925586137</c:v>
                </c:pt>
                <c:pt idx="59">
                  <c:v>1.438328236493374</c:v>
                </c:pt>
                <c:pt idx="60">
                  <c:v>1.4845395854570167</c:v>
                </c:pt>
                <c:pt idx="61">
                  <c:v>1.5195378865103635</c:v>
                </c:pt>
                <c:pt idx="62">
                  <c:v>1.4974515800203874</c:v>
                </c:pt>
                <c:pt idx="63">
                  <c:v>1.4960924226979273</c:v>
                </c:pt>
                <c:pt idx="64">
                  <c:v>1.4750254841997961</c:v>
                </c:pt>
              </c:numCache>
            </c:numRef>
          </c:val>
          <c:smooth val="0"/>
        </c:ser>
        <c:ser>
          <c:idx val="1"/>
          <c:order val="1"/>
          <c:tx>
            <c:strRef>
              <c:f>'[Chart in Microsoft Word]Sheet1'!$DC$28</c:f>
              <c:strCache>
                <c:ptCount val="1"/>
                <c:pt idx="0">
                  <c:v>Chicken portions - Fresh</c:v>
                </c:pt>
              </c:strCache>
            </c:strRef>
          </c:tx>
          <c:spPr>
            <a:ln>
              <a:solidFill>
                <a:schemeClr val="tx2"/>
              </a:solidFill>
            </a:ln>
          </c:spPr>
          <c:marker>
            <c:symbol val="none"/>
          </c:marker>
          <c:cat>
            <c:numRef>
              <c:f>'[Chart in Microsoft Word]Sheet1'!$EO$22:$HA$22</c:f>
              <c:numCache>
                <c:formatCode>mmm\-yy</c:formatCode>
                <c:ptCount val="65"/>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numCache>
            </c:numRef>
          </c:cat>
          <c:val>
            <c:numRef>
              <c:f>'[Chart in Microsoft Word]Sheet1'!$EO$28:$HA$28</c:f>
              <c:numCache>
                <c:formatCode>0.00</c:formatCode>
                <c:ptCount val="65"/>
                <c:pt idx="0">
                  <c:v>0.97733847637415627</c:v>
                </c:pt>
                <c:pt idx="1">
                  <c:v>0.98191899710703956</c:v>
                </c:pt>
                <c:pt idx="2">
                  <c:v>0.98577627772420451</c:v>
                </c:pt>
                <c:pt idx="3">
                  <c:v>0.9855351976856318</c:v>
                </c:pt>
                <c:pt idx="4">
                  <c:v>0.97709739633558357</c:v>
                </c:pt>
                <c:pt idx="5">
                  <c:v>0.99734811957569913</c:v>
                </c:pt>
                <c:pt idx="6">
                  <c:v>0.99421407907425274</c:v>
                </c:pt>
                <c:pt idx="7">
                  <c:v>0.99252651880424314</c:v>
                </c:pt>
                <c:pt idx="8">
                  <c:v>1.0465284474445515</c:v>
                </c:pt>
                <c:pt idx="9">
                  <c:v>1.0653326904532305</c:v>
                </c:pt>
                <c:pt idx="10">
                  <c:v>1.057377049180328</c:v>
                </c:pt>
                <c:pt idx="11">
                  <c:v>1.0711186113789779</c:v>
                </c:pt>
                <c:pt idx="12">
                  <c:v>1.0769045323047253</c:v>
                </c:pt>
                <c:pt idx="13">
                  <c:v>1.075940212150434</c:v>
                </c:pt>
                <c:pt idx="14">
                  <c:v>1.0732883317261332</c:v>
                </c:pt>
                <c:pt idx="15">
                  <c:v>1.0788331726133078</c:v>
                </c:pt>
                <c:pt idx="16">
                  <c:v>1.0687078109932497</c:v>
                </c:pt>
                <c:pt idx="17">
                  <c:v>1.0708775313404051</c:v>
                </c:pt>
                <c:pt idx="18">
                  <c:v>1.0737704918032787</c:v>
                </c:pt>
                <c:pt idx="19">
                  <c:v>1.0834136933461909</c:v>
                </c:pt>
                <c:pt idx="20">
                  <c:v>1.0875120540019287</c:v>
                </c:pt>
                <c:pt idx="21">
                  <c:v>1.069672131147541</c:v>
                </c:pt>
                <c:pt idx="22">
                  <c:v>1.1034233365477339</c:v>
                </c:pt>
                <c:pt idx="23">
                  <c:v>1.1096914175506269</c:v>
                </c:pt>
                <c:pt idx="24">
                  <c:v>1.10824493731919</c:v>
                </c:pt>
                <c:pt idx="25">
                  <c:v>1.1147540983606559</c:v>
                </c:pt>
                <c:pt idx="26">
                  <c:v>1.1432015429122471</c:v>
                </c:pt>
                <c:pt idx="27">
                  <c:v>1.1513982642237224</c:v>
                </c:pt>
                <c:pt idx="28">
                  <c:v>1.1583895853423336</c:v>
                </c:pt>
                <c:pt idx="29">
                  <c:v>1.1610414657666346</c:v>
                </c:pt>
                <c:pt idx="30">
                  <c:v>1.133076181292189</c:v>
                </c:pt>
                <c:pt idx="31">
                  <c:v>1.1629701060752171</c:v>
                </c:pt>
                <c:pt idx="32">
                  <c:v>1.158148505303761</c:v>
                </c:pt>
                <c:pt idx="33">
                  <c:v>1.1916586306653809</c:v>
                </c:pt>
                <c:pt idx="34">
                  <c:v>1.2080520732883318</c:v>
                </c:pt>
                <c:pt idx="35">
                  <c:v>1.2041947926711669</c:v>
                </c:pt>
                <c:pt idx="36">
                  <c:v>1.201783992285439</c:v>
                </c:pt>
                <c:pt idx="37">
                  <c:v>1.205400192864031</c:v>
                </c:pt>
                <c:pt idx="38">
                  <c:v>1.2172131147540985</c:v>
                </c:pt>
                <c:pt idx="39">
                  <c:v>1.2280617164898746</c:v>
                </c:pt>
                <c:pt idx="40">
                  <c:v>1.2319189971070397</c:v>
                </c:pt>
                <c:pt idx="41">
                  <c:v>1.2540983606557379</c:v>
                </c:pt>
                <c:pt idx="42">
                  <c:v>1.2324011571841851</c:v>
                </c:pt>
                <c:pt idx="43">
                  <c:v>1.2635004821600773</c:v>
                </c:pt>
                <c:pt idx="44">
                  <c:v>1.233847637415622</c:v>
                </c:pt>
                <c:pt idx="45">
                  <c:v>1.2456605593056895</c:v>
                </c:pt>
                <c:pt idx="46">
                  <c:v>1.2514464802314369</c:v>
                </c:pt>
                <c:pt idx="47">
                  <c:v>1.2485535197685633</c:v>
                </c:pt>
                <c:pt idx="48">
                  <c:v>1.2770009643201543</c:v>
                </c:pt>
                <c:pt idx="49">
                  <c:v>1.259884281581485</c:v>
                </c:pt>
                <c:pt idx="50">
                  <c:v>1.284956605593057</c:v>
                </c:pt>
                <c:pt idx="51">
                  <c:v>1.2854387656702027</c:v>
                </c:pt>
                <c:pt idx="52">
                  <c:v>1.3030376084860174</c:v>
                </c:pt>
                <c:pt idx="53">
                  <c:v>1.3220829315332692</c:v>
                </c:pt>
                <c:pt idx="54">
                  <c:v>1.3015911282545807</c:v>
                </c:pt>
                <c:pt idx="55">
                  <c:v>1.3064127290260368</c:v>
                </c:pt>
                <c:pt idx="56">
                  <c:v>1.2888138862102219</c:v>
                </c:pt>
                <c:pt idx="57">
                  <c:v>1.2842333654773386</c:v>
                </c:pt>
                <c:pt idx="58">
                  <c:v>1.3112343297974929</c:v>
                </c:pt>
                <c:pt idx="59">
                  <c:v>1.3237704918032787</c:v>
                </c:pt>
                <c:pt idx="60">
                  <c:v>1.3510125361620058</c:v>
                </c:pt>
                <c:pt idx="61">
                  <c:v>1.3493249758919963</c:v>
                </c:pt>
                <c:pt idx="62">
                  <c:v>1.3432979749276761</c:v>
                </c:pt>
                <c:pt idx="63">
                  <c:v>1.3536644165863068</c:v>
                </c:pt>
                <c:pt idx="64">
                  <c:v>1.3592092574734813</c:v>
                </c:pt>
              </c:numCache>
            </c:numRef>
          </c:val>
          <c:smooth val="0"/>
        </c:ser>
        <c:ser>
          <c:idx val="2"/>
          <c:order val="2"/>
          <c:tx>
            <c:strRef>
              <c:f>'[Chart in Microsoft Word]Sheet1'!$B$32</c:f>
              <c:strCache>
                <c:ptCount val="1"/>
                <c:pt idx="0">
                  <c:v>Yelllow Maize Seed Price</c:v>
                </c:pt>
              </c:strCache>
            </c:strRef>
          </c:tx>
          <c:marker>
            <c:symbol val="none"/>
          </c:marker>
          <c:cat>
            <c:numRef>
              <c:f>'[Chart in Microsoft Word]Sheet1'!$EO$22:$HA$22</c:f>
              <c:numCache>
                <c:formatCode>mmm\-yy</c:formatCode>
                <c:ptCount val="65"/>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numCache>
            </c:numRef>
          </c:cat>
          <c:val>
            <c:numRef>
              <c:f>'[Chart in Microsoft Word]Sheet1'!$EO$32:$GZ$32</c:f>
              <c:numCache>
                <c:formatCode>0.00</c:formatCode>
                <c:ptCount val="64"/>
                <c:pt idx="0">
                  <c:v>1.9566946382233006</c:v>
                </c:pt>
                <c:pt idx="1">
                  <c:v>1.7505139352273109</c:v>
                </c:pt>
                <c:pt idx="2">
                  <c:v>1.7505139352273109</c:v>
                </c:pt>
                <c:pt idx="3">
                  <c:v>1.5235736191150204</c:v>
                </c:pt>
                <c:pt idx="4">
                  <c:v>1.7579271054493986</c:v>
                </c:pt>
                <c:pt idx="5">
                  <c:v>1.4333569238027837</c:v>
                </c:pt>
                <c:pt idx="6">
                  <c:v>1.7781959724634884</c:v>
                </c:pt>
                <c:pt idx="7">
                  <c:v>1.7781959724634884</c:v>
                </c:pt>
                <c:pt idx="8">
                  <c:v>1.7315156255820017</c:v>
                </c:pt>
                <c:pt idx="9">
                  <c:v>1.7625157697159912</c:v>
                </c:pt>
                <c:pt idx="10">
                  <c:v>1.7739818567844046</c:v>
                </c:pt>
                <c:pt idx="11">
                  <c:v>1.7107415270897224</c:v>
                </c:pt>
                <c:pt idx="12">
                  <c:v>1.6018464903815224</c:v>
                </c:pt>
                <c:pt idx="13">
                  <c:v>1.5294762915782025</c:v>
                </c:pt>
                <c:pt idx="14">
                  <c:v>1.6081871345029239</c:v>
                </c:pt>
                <c:pt idx="15">
                  <c:v>1.5235736191150204</c:v>
                </c:pt>
                <c:pt idx="16">
                  <c:v>1.5413047674194171</c:v>
                </c:pt>
                <c:pt idx="17">
                  <c:v>1.6052817819495659</c:v>
                </c:pt>
                <c:pt idx="18">
                  <c:v>1.5365088156558662</c:v>
                </c:pt>
                <c:pt idx="19">
                  <c:v>1.5130590098742964</c:v>
                </c:pt>
                <c:pt idx="20">
                  <c:v>1.5019815994338288</c:v>
                </c:pt>
                <c:pt idx="21">
                  <c:v>1.5346010646481429</c:v>
                </c:pt>
                <c:pt idx="22">
                  <c:v>1.6927846864152596</c:v>
                </c:pt>
                <c:pt idx="23">
                  <c:v>1.9328789063955003</c:v>
                </c:pt>
                <c:pt idx="24">
                  <c:v>2.2484719809560572</c:v>
                </c:pt>
                <c:pt idx="25">
                  <c:v>2.2464614295824488</c:v>
                </c:pt>
                <c:pt idx="26">
                  <c:v>2.2880396319886764</c:v>
                </c:pt>
                <c:pt idx="27">
                  <c:v>1.731031400156442</c:v>
                </c:pt>
                <c:pt idx="28">
                  <c:v>1.4497523000707715</c:v>
                </c:pt>
                <c:pt idx="29">
                  <c:v>1.3765038924274593</c:v>
                </c:pt>
                <c:pt idx="30">
                  <c:v>1.2682851780054771</c:v>
                </c:pt>
                <c:pt idx="31">
                  <c:v>1.2703804805715633</c:v>
                </c:pt>
                <c:pt idx="32">
                  <c:v>1.236342803221784</c:v>
                </c:pt>
                <c:pt idx="33">
                  <c:v>1.9329875388570863</c:v>
                </c:pt>
                <c:pt idx="34">
                  <c:v>1.4216206652512384</c:v>
                </c:pt>
                <c:pt idx="35">
                  <c:v>1.5029016277423921</c:v>
                </c:pt>
                <c:pt idx="36">
                  <c:v>1.428908435277862</c:v>
                </c:pt>
                <c:pt idx="37">
                  <c:v>1.6397027600849257</c:v>
                </c:pt>
                <c:pt idx="38">
                  <c:v>1.7267580261210835</c:v>
                </c:pt>
                <c:pt idx="39">
                  <c:v>1.6767236562744441</c:v>
                </c:pt>
                <c:pt idx="40">
                  <c:v>1.6908351026185422</c:v>
                </c:pt>
                <c:pt idx="41">
                  <c:v>1.7719475617564788</c:v>
                </c:pt>
                <c:pt idx="42">
                  <c:v>1.9577525462321919</c:v>
                </c:pt>
                <c:pt idx="43">
                  <c:v>1.9100495399858457</c:v>
                </c:pt>
                <c:pt idx="44">
                  <c:v>2.0217706332356014</c:v>
                </c:pt>
                <c:pt idx="45">
                  <c:v>2.0333912372128933</c:v>
                </c:pt>
                <c:pt idx="46">
                  <c:v>2.2106628921915545</c:v>
                </c:pt>
                <c:pt idx="47">
                  <c:v>2.5195969399791056</c:v>
                </c:pt>
                <c:pt idx="48">
                  <c:v>2.7424628450106154</c:v>
                </c:pt>
                <c:pt idx="49">
                  <c:v>2.3901244880674763</c:v>
                </c:pt>
                <c:pt idx="50">
                  <c:v>2.3276008492569003</c:v>
                </c:pt>
                <c:pt idx="51">
                  <c:v>2.2002830856334041</c:v>
                </c:pt>
                <c:pt idx="52">
                  <c:v>2.4562396791696153</c:v>
                </c:pt>
                <c:pt idx="53">
                  <c:v>2.5899639402824115</c:v>
                </c:pt>
                <c:pt idx="54">
                  <c:v>2.3455036452842988</c:v>
                </c:pt>
                <c:pt idx="55">
                  <c:v>2.2103665652312205</c:v>
                </c:pt>
                <c:pt idx="56">
                  <c:v>2.2213754416032945</c:v>
                </c:pt>
                <c:pt idx="57">
                  <c:v>2.2425129384567453</c:v>
                </c:pt>
                <c:pt idx="58">
                  <c:v>2.264685067232838</c:v>
                </c:pt>
                <c:pt idx="59">
                  <c:v>2.3190393038260884</c:v>
                </c:pt>
                <c:pt idx="60">
                  <c:v>2.250752592665588</c:v>
                </c:pt>
                <c:pt idx="61">
                  <c:v>2.025265392781316</c:v>
                </c:pt>
                <c:pt idx="62">
                  <c:v>1.5208775654635527</c:v>
                </c:pt>
                <c:pt idx="63">
                  <c:v>1.4798301486199574</c:v>
                </c:pt>
              </c:numCache>
            </c:numRef>
          </c:val>
          <c:smooth val="0"/>
        </c:ser>
        <c:dLbls>
          <c:showLegendKey val="0"/>
          <c:showVal val="0"/>
          <c:showCatName val="0"/>
          <c:showSerName val="0"/>
          <c:showPercent val="0"/>
          <c:showBubbleSize val="0"/>
        </c:dLbls>
        <c:marker val="1"/>
        <c:smooth val="0"/>
        <c:axId val="590932224"/>
        <c:axId val="590934016"/>
      </c:lineChart>
      <c:dateAx>
        <c:axId val="590932224"/>
        <c:scaling>
          <c:orientation val="minMax"/>
        </c:scaling>
        <c:delete val="0"/>
        <c:axPos val="b"/>
        <c:numFmt formatCode="mmm\-yy" sourceLinked="1"/>
        <c:majorTickMark val="out"/>
        <c:minorTickMark val="none"/>
        <c:tickLblPos val="nextTo"/>
        <c:crossAx val="590934016"/>
        <c:crosses val="autoZero"/>
        <c:auto val="1"/>
        <c:lblOffset val="100"/>
        <c:baseTimeUnit val="months"/>
      </c:dateAx>
      <c:valAx>
        <c:axId val="590934016"/>
        <c:scaling>
          <c:orientation val="minMax"/>
        </c:scaling>
        <c:delete val="0"/>
        <c:axPos val="l"/>
        <c:majorGridlines/>
        <c:title>
          <c:tx>
            <c:rich>
              <a:bodyPr rot="-5400000" vert="horz"/>
              <a:lstStyle/>
              <a:p>
                <a:pPr>
                  <a:defRPr b="0"/>
                </a:pPr>
                <a:r>
                  <a:rPr lang="en-US" b="0"/>
                  <a:t>Indices</a:t>
                </a:r>
              </a:p>
            </c:rich>
          </c:tx>
          <c:layout>
            <c:manualLayout>
              <c:xMode val="edge"/>
              <c:yMode val="edge"/>
              <c:x val="0"/>
              <c:y val="0.28271033829104697"/>
            </c:manualLayout>
          </c:layout>
          <c:overlay val="0"/>
        </c:title>
        <c:numFmt formatCode="0.00" sourceLinked="1"/>
        <c:majorTickMark val="out"/>
        <c:minorTickMark val="none"/>
        <c:tickLblPos val="nextTo"/>
        <c:crossAx val="590932224"/>
        <c:crosses val="autoZero"/>
        <c:crossBetween val="between"/>
      </c:valAx>
    </c:plotArea>
    <c:legend>
      <c:legendPos val="r"/>
      <c:layout>
        <c:manualLayout>
          <c:xMode val="edge"/>
          <c:yMode val="edge"/>
          <c:x val="3.7762467191600913E-3"/>
          <c:y val="0.83604367162438031"/>
          <c:w val="0.99160025610041236"/>
          <c:h val="0.16395628158420497"/>
        </c:manualLayout>
      </c:layout>
      <c:overlay val="0"/>
    </c:legend>
    <c:plotVisOnly val="1"/>
    <c:dispBlanksAs val="gap"/>
    <c:showDLblsOverMax val="0"/>
  </c:chart>
  <c:spPr>
    <a:solidFill>
      <a:srgbClr val="9BBB59">
        <a:lumMod val="20000"/>
        <a:lumOff val="80000"/>
      </a:srgbClr>
    </a:solidFill>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'New production account'!$P$146</c:f>
              <c:strCache>
                <c:ptCount val="1"/>
                <c:pt idx="0">
                  <c:v>Total Egg Production</c:v>
                </c:pt>
              </c:strCache>
            </c:strRef>
          </c:tx>
          <c:spPr>
            <a:solidFill>
              <a:srgbClr val="005D28"/>
            </a:solidFill>
            <a:scene3d>
              <a:camera prst="orthographicFront"/>
              <a:lightRig rig="threePt" dir="t"/>
            </a:scene3d>
            <a:sp3d>
              <a:bevelT/>
            </a:sp3d>
          </c:spPr>
          <c:invertIfNegative val="0"/>
          <c:cat>
            <c:strRef>
              <c:f>'New production account'!$O$147:$O$159</c:f>
              <c:strCache>
                <c:ptCount val="13"/>
                <c:pt idx="0">
                  <c:v>Q1     2014 </c:v>
                </c:pt>
                <c:pt idx="1">
                  <c:v>Q2     2014 </c:v>
                </c:pt>
                <c:pt idx="2">
                  <c:v>Q3     2014 </c:v>
                </c:pt>
                <c:pt idx="3">
                  <c:v>Q4     2014 </c:v>
                </c:pt>
                <c:pt idx="4">
                  <c:v>Q1     2015 </c:v>
                </c:pt>
                <c:pt idx="5">
                  <c:v>Q2     2015 </c:v>
                </c:pt>
                <c:pt idx="6">
                  <c:v>Q3     2015</c:v>
                </c:pt>
                <c:pt idx="7">
                  <c:v>Q4     2015</c:v>
                </c:pt>
                <c:pt idx="8">
                  <c:v>Q1     2016</c:v>
                </c:pt>
                <c:pt idx="9">
                  <c:v>Q2     2016</c:v>
                </c:pt>
                <c:pt idx="10">
                  <c:v>Q3     2016</c:v>
                </c:pt>
                <c:pt idx="11">
                  <c:v>Q4     2016</c:v>
                </c:pt>
                <c:pt idx="12">
                  <c:v>Q1     2017</c:v>
                </c:pt>
              </c:strCache>
            </c:strRef>
          </c:cat>
          <c:val>
            <c:numRef>
              <c:f>'New production account'!$P$147:$P$159</c:f>
              <c:numCache>
                <c:formatCode>#,##0</c:formatCode>
                <c:ptCount val="13"/>
                <c:pt idx="0">
                  <c:v>202350.99999999974</c:v>
                </c:pt>
                <c:pt idx="1">
                  <c:v>202135.99999999977</c:v>
                </c:pt>
                <c:pt idx="2">
                  <c:v>209161.74000000011</c:v>
                </c:pt>
                <c:pt idx="3">
                  <c:v>208095.74000000011</c:v>
                </c:pt>
                <c:pt idx="4">
                  <c:v>211476</c:v>
                </c:pt>
                <c:pt idx="5">
                  <c:v>212210</c:v>
                </c:pt>
                <c:pt idx="6">
                  <c:v>215418.74000000011</c:v>
                </c:pt>
                <c:pt idx="7">
                  <c:v>215294.74000000011</c:v>
                </c:pt>
                <c:pt idx="8">
                  <c:v>213213</c:v>
                </c:pt>
                <c:pt idx="9">
                  <c:v>214128</c:v>
                </c:pt>
                <c:pt idx="10">
                  <c:v>214188.74000000011</c:v>
                </c:pt>
                <c:pt idx="11" formatCode="0_)">
                  <c:v>211821</c:v>
                </c:pt>
                <c:pt idx="12" formatCode="0_)">
                  <c:v>207544</c:v>
                </c:pt>
              </c:numCache>
            </c:numRef>
          </c:val>
        </c:ser>
        <c:dLbls>
          <c:showLegendKey val="0"/>
          <c:showVal val="0"/>
          <c:showCatName val="0"/>
          <c:showSerName val="0"/>
          <c:showPercent val="0"/>
          <c:showBubbleSize val="0"/>
        </c:dLbls>
        <c:gapWidth val="150"/>
        <c:axId val="590976896"/>
        <c:axId val="590978432"/>
      </c:barChart>
      <c:lineChart>
        <c:grouping val="standard"/>
        <c:varyColors val="0"/>
        <c:ser>
          <c:idx val="1"/>
          <c:order val="1"/>
          <c:tx>
            <c:strRef>
              <c:f>'New production account'!$Q$146</c:f>
              <c:strCache>
                <c:ptCount val="1"/>
                <c:pt idx="0">
                  <c:v>Price per dozen</c:v>
                </c:pt>
              </c:strCache>
            </c:strRef>
          </c:tx>
          <c:spPr>
            <a:ln>
              <a:solidFill>
                <a:srgbClr val="D8A851"/>
              </a:solidFill>
            </a:ln>
          </c:spPr>
          <c:marker>
            <c:symbol val="none"/>
          </c:marker>
          <c:cat>
            <c:strRef>
              <c:f>'New production account'!$O$147:$O$159</c:f>
              <c:strCache>
                <c:ptCount val="13"/>
                <c:pt idx="0">
                  <c:v>Q1     2014 </c:v>
                </c:pt>
                <c:pt idx="1">
                  <c:v>Q2     2014 </c:v>
                </c:pt>
                <c:pt idx="2">
                  <c:v>Q3     2014 </c:v>
                </c:pt>
                <c:pt idx="3">
                  <c:v>Q4     2014 </c:v>
                </c:pt>
                <c:pt idx="4">
                  <c:v>Q1     2015 </c:v>
                </c:pt>
                <c:pt idx="5">
                  <c:v>Q2     2015 </c:v>
                </c:pt>
                <c:pt idx="6">
                  <c:v>Q3     2015</c:v>
                </c:pt>
                <c:pt idx="7">
                  <c:v>Q4     2015</c:v>
                </c:pt>
                <c:pt idx="8">
                  <c:v>Q1     2016</c:v>
                </c:pt>
                <c:pt idx="9">
                  <c:v>Q2     2016</c:v>
                </c:pt>
                <c:pt idx="10">
                  <c:v>Q3     2016</c:v>
                </c:pt>
                <c:pt idx="11">
                  <c:v>Q4     2016</c:v>
                </c:pt>
                <c:pt idx="12">
                  <c:v>Q1     2017</c:v>
                </c:pt>
              </c:strCache>
            </c:strRef>
          </c:cat>
          <c:val>
            <c:numRef>
              <c:f>'New production account'!$Q$147:$Q$159</c:f>
              <c:numCache>
                <c:formatCode>\ #.##</c:formatCode>
                <c:ptCount val="13"/>
                <c:pt idx="0">
                  <c:v>10.859332409933726</c:v>
                </c:pt>
                <c:pt idx="1">
                  <c:v>11.327163835970946</c:v>
                </c:pt>
                <c:pt idx="2">
                  <c:v>11.2700064543353</c:v>
                </c:pt>
                <c:pt idx="3">
                  <c:v>11.3214792710317</c:v>
                </c:pt>
                <c:pt idx="4" formatCode="0.00_)">
                  <c:v>11.179295333749456</c:v>
                </c:pt>
                <c:pt idx="5" formatCode="0.00_)">
                  <c:v>11.127469582017813</c:v>
                </c:pt>
                <c:pt idx="6" formatCode="0.00_)">
                  <c:v>11.71926118684009</c:v>
                </c:pt>
                <c:pt idx="7" formatCode="0.00_)">
                  <c:v>12.120764328009129</c:v>
                </c:pt>
                <c:pt idx="8" formatCode="0.00_)">
                  <c:v>11.681145052130967</c:v>
                </c:pt>
                <c:pt idx="9" formatCode="0.00">
                  <c:v>11.83007869125008</c:v>
                </c:pt>
                <c:pt idx="10" formatCode="0.00_)">
                  <c:v>11.932781825972739</c:v>
                </c:pt>
                <c:pt idx="11" formatCode="0.00_)">
                  <c:v>12.284834600913037</c:v>
                </c:pt>
                <c:pt idx="12" formatCode="0.00_)">
                  <c:v>12.108083346182013</c:v>
                </c:pt>
              </c:numCache>
            </c:numRef>
          </c:val>
          <c:smooth val="0"/>
        </c:ser>
        <c:dLbls>
          <c:showLegendKey val="0"/>
          <c:showVal val="0"/>
          <c:showCatName val="0"/>
          <c:showSerName val="0"/>
          <c:showPercent val="0"/>
          <c:showBubbleSize val="0"/>
        </c:dLbls>
        <c:marker val="1"/>
        <c:smooth val="0"/>
        <c:axId val="590986624"/>
        <c:axId val="590984704"/>
      </c:lineChart>
      <c:catAx>
        <c:axId val="590976896"/>
        <c:scaling>
          <c:orientation val="minMax"/>
        </c:scaling>
        <c:delete val="0"/>
        <c:axPos val="b"/>
        <c:numFmt formatCode="General" sourceLinked="0"/>
        <c:majorTickMark val="out"/>
        <c:minorTickMark val="none"/>
        <c:tickLblPos val="nextTo"/>
        <c:crossAx val="590978432"/>
        <c:crosses val="autoZero"/>
        <c:auto val="1"/>
        <c:lblAlgn val="ctr"/>
        <c:lblOffset val="100"/>
        <c:noMultiLvlLbl val="0"/>
      </c:catAx>
      <c:valAx>
        <c:axId val="590978432"/>
        <c:scaling>
          <c:orientation val="minMax"/>
        </c:scaling>
        <c:delete val="0"/>
        <c:axPos val="l"/>
        <c:majorGridlines/>
        <c:title>
          <c:tx>
            <c:rich>
              <a:bodyPr rot="-5400000" vert="horz"/>
              <a:lstStyle/>
              <a:p>
                <a:pPr>
                  <a:defRPr/>
                </a:pPr>
                <a:r>
                  <a:rPr lang="en-US"/>
                  <a:t>1000 dozen</a:t>
                </a:r>
              </a:p>
            </c:rich>
          </c:tx>
          <c:layout>
            <c:manualLayout>
              <c:xMode val="edge"/>
              <c:yMode val="edge"/>
              <c:x val="2.2304434455258083E-2"/>
              <c:y val="0.19677164750844911"/>
            </c:manualLayout>
          </c:layout>
          <c:overlay val="0"/>
        </c:title>
        <c:numFmt formatCode="#,##0" sourceLinked="1"/>
        <c:majorTickMark val="out"/>
        <c:minorTickMark val="none"/>
        <c:tickLblPos val="nextTo"/>
        <c:crossAx val="590976896"/>
        <c:crosses val="autoZero"/>
        <c:crossBetween val="between"/>
      </c:valAx>
      <c:valAx>
        <c:axId val="590984704"/>
        <c:scaling>
          <c:orientation val="minMax"/>
        </c:scaling>
        <c:delete val="0"/>
        <c:axPos val="r"/>
        <c:title>
          <c:tx>
            <c:rich>
              <a:bodyPr rot="-5400000" vert="horz"/>
              <a:lstStyle/>
              <a:p>
                <a:pPr>
                  <a:defRPr/>
                </a:pPr>
                <a:r>
                  <a:rPr lang="en-US"/>
                  <a:t>R/dozen</a:t>
                </a:r>
              </a:p>
            </c:rich>
          </c:tx>
          <c:overlay val="0"/>
        </c:title>
        <c:numFmt formatCode="\ #.##" sourceLinked="1"/>
        <c:majorTickMark val="out"/>
        <c:minorTickMark val="none"/>
        <c:tickLblPos val="nextTo"/>
        <c:crossAx val="590986624"/>
        <c:crosses val="max"/>
        <c:crossBetween val="between"/>
      </c:valAx>
      <c:catAx>
        <c:axId val="590986624"/>
        <c:scaling>
          <c:orientation val="minMax"/>
        </c:scaling>
        <c:delete val="1"/>
        <c:axPos val="b"/>
        <c:numFmt formatCode="General" sourceLinked="1"/>
        <c:majorTickMark val="out"/>
        <c:minorTickMark val="none"/>
        <c:tickLblPos val="none"/>
        <c:crossAx val="590984704"/>
        <c:crosses val="autoZero"/>
        <c:auto val="1"/>
        <c:lblAlgn val="ctr"/>
        <c:lblOffset val="100"/>
        <c:noMultiLvlLbl val="0"/>
      </c:catAx>
    </c:plotArea>
    <c:legend>
      <c:legendPos val="b"/>
      <c:overlay val="0"/>
    </c:legend>
    <c:plotVisOnly val="1"/>
    <c:dispBlanksAs val="gap"/>
    <c:showDLblsOverMax val="0"/>
  </c:chart>
  <c:spPr>
    <a:solidFill>
      <a:schemeClr val="accent3">
        <a:lumMod val="20000"/>
        <a:lumOff val="80000"/>
      </a:schemeClr>
    </a:solidFill>
  </c:spPr>
  <c:txPr>
    <a:bodyPr/>
    <a:lstStyle/>
    <a:p>
      <a:pPr>
        <a:defRPr sz="1000" b="0">
          <a:latin typeface="Arial" pitchFamily="34" charset="0"/>
          <a:cs typeface="Arial" pitchFamily="34" charset="0"/>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 (83)'!$R$6</c:f>
              <c:strCache>
                <c:ptCount val="1"/>
                <c:pt idx="0">
                  <c:v>Exports</c:v>
                </c:pt>
              </c:strCache>
            </c:strRef>
          </c:tx>
          <c:spPr>
            <a:ln>
              <a:solidFill>
                <a:srgbClr val="005D28"/>
              </a:solidFill>
            </a:ln>
          </c:spPr>
          <c:marker>
            <c:symbol val="none"/>
          </c:marker>
          <c:cat>
            <c:strRef>
              <c:f>'sheet (83)'!$S$5:$AE$5</c:f>
              <c:strCache>
                <c:ptCount val="13"/>
                <c:pt idx="0">
                  <c:v>1st/14 </c:v>
                </c:pt>
                <c:pt idx="1">
                  <c:v>2nd/14 </c:v>
                </c:pt>
                <c:pt idx="2">
                  <c:v>3rd/14 </c:v>
                </c:pt>
                <c:pt idx="3">
                  <c:v>4th/14 </c:v>
                </c:pt>
                <c:pt idx="4">
                  <c:v>1st/15 </c:v>
                </c:pt>
                <c:pt idx="5">
                  <c:v>2nd/15 </c:v>
                </c:pt>
                <c:pt idx="6">
                  <c:v>3rd/15 </c:v>
                </c:pt>
                <c:pt idx="7">
                  <c:v>4th/15 </c:v>
                </c:pt>
                <c:pt idx="8">
                  <c:v>1st/16 </c:v>
                </c:pt>
                <c:pt idx="9">
                  <c:v>2nd/16 </c:v>
                </c:pt>
                <c:pt idx="10">
                  <c:v>3rd/16 </c:v>
                </c:pt>
                <c:pt idx="11">
                  <c:v>4th/16 </c:v>
                </c:pt>
                <c:pt idx="12">
                  <c:v>1st/17 </c:v>
                </c:pt>
              </c:strCache>
            </c:strRef>
          </c:cat>
          <c:val>
            <c:numRef>
              <c:f>'sheet (83)'!$S$6:$AE$6</c:f>
              <c:numCache>
                <c:formatCode>0.00</c:formatCode>
                <c:ptCount val="13"/>
                <c:pt idx="0">
                  <c:v>3652.6279999999997</c:v>
                </c:pt>
                <c:pt idx="1">
                  <c:v>3348.7659999999987</c:v>
                </c:pt>
                <c:pt idx="2">
                  <c:v>3405.1909999999998</c:v>
                </c:pt>
                <c:pt idx="3">
                  <c:v>3831.5990000000002</c:v>
                </c:pt>
                <c:pt idx="4">
                  <c:v>3854.6790000000001</c:v>
                </c:pt>
                <c:pt idx="5">
                  <c:v>4355.8789999999999</c:v>
                </c:pt>
                <c:pt idx="6">
                  <c:v>4643.6580000000004</c:v>
                </c:pt>
                <c:pt idx="7">
                  <c:v>5040.2140000000009</c:v>
                </c:pt>
                <c:pt idx="8">
                  <c:v>4467.6980000000003</c:v>
                </c:pt>
                <c:pt idx="9">
                  <c:v>3600.2049999999963</c:v>
                </c:pt>
                <c:pt idx="10">
                  <c:v>3170.0990000000002</c:v>
                </c:pt>
                <c:pt idx="11">
                  <c:v>3916.1489999999962</c:v>
                </c:pt>
                <c:pt idx="12">
                  <c:v>3472.7069999999962</c:v>
                </c:pt>
              </c:numCache>
            </c:numRef>
          </c:val>
          <c:smooth val="0"/>
        </c:ser>
        <c:dLbls>
          <c:showLegendKey val="0"/>
          <c:showVal val="0"/>
          <c:showCatName val="0"/>
          <c:showSerName val="0"/>
          <c:showPercent val="0"/>
          <c:showBubbleSize val="0"/>
        </c:dLbls>
        <c:marker val="1"/>
        <c:smooth val="0"/>
        <c:axId val="591746176"/>
        <c:axId val="591747712"/>
      </c:lineChart>
      <c:lineChart>
        <c:grouping val="standard"/>
        <c:varyColors val="0"/>
        <c:ser>
          <c:idx val="1"/>
          <c:order val="1"/>
          <c:tx>
            <c:strRef>
              <c:f>'sheet (83)'!$R$7</c:f>
              <c:strCache>
                <c:ptCount val="1"/>
                <c:pt idx="0">
                  <c:v>Imports</c:v>
                </c:pt>
              </c:strCache>
            </c:strRef>
          </c:tx>
          <c:spPr>
            <a:ln>
              <a:solidFill>
                <a:srgbClr val="D8A851"/>
              </a:solidFill>
            </a:ln>
          </c:spPr>
          <c:marker>
            <c:symbol val="none"/>
          </c:marker>
          <c:cat>
            <c:strRef>
              <c:f>'sheet (83)'!$S$5:$AE$5</c:f>
              <c:strCache>
                <c:ptCount val="13"/>
                <c:pt idx="0">
                  <c:v>1st/14 </c:v>
                </c:pt>
                <c:pt idx="1">
                  <c:v>2nd/14 </c:v>
                </c:pt>
                <c:pt idx="2">
                  <c:v>3rd/14 </c:v>
                </c:pt>
                <c:pt idx="3">
                  <c:v>4th/14 </c:v>
                </c:pt>
                <c:pt idx="4">
                  <c:v>1st/15 </c:v>
                </c:pt>
                <c:pt idx="5">
                  <c:v>2nd/15 </c:v>
                </c:pt>
                <c:pt idx="6">
                  <c:v>3rd/15 </c:v>
                </c:pt>
                <c:pt idx="7">
                  <c:v>4th/15 </c:v>
                </c:pt>
                <c:pt idx="8">
                  <c:v>1st/16 </c:v>
                </c:pt>
                <c:pt idx="9">
                  <c:v>2nd/16 </c:v>
                </c:pt>
                <c:pt idx="10">
                  <c:v>3rd/16 </c:v>
                </c:pt>
                <c:pt idx="11">
                  <c:v>4th/16 </c:v>
                </c:pt>
                <c:pt idx="12">
                  <c:v>1st/17 </c:v>
                </c:pt>
              </c:strCache>
            </c:strRef>
          </c:cat>
          <c:val>
            <c:numRef>
              <c:f>'sheet (83)'!$S$7:$AE$7</c:f>
              <c:numCache>
                <c:formatCode>0.00</c:formatCode>
                <c:ptCount val="13"/>
                <c:pt idx="0">
                  <c:v>28.681000000000001</c:v>
                </c:pt>
                <c:pt idx="1">
                  <c:v>6.1360000000000001</c:v>
                </c:pt>
                <c:pt idx="2">
                  <c:v>8.8000000000000064E-2</c:v>
                </c:pt>
                <c:pt idx="3">
                  <c:v>23.736999999999988</c:v>
                </c:pt>
                <c:pt idx="4">
                  <c:v>7.2779999999999996</c:v>
                </c:pt>
                <c:pt idx="5">
                  <c:v>0.42700000000000032</c:v>
                </c:pt>
                <c:pt idx="6">
                  <c:v>0.17200000000000001</c:v>
                </c:pt>
                <c:pt idx="7">
                  <c:v>1.083</c:v>
                </c:pt>
                <c:pt idx="8">
                  <c:v>0.34400000000000008</c:v>
                </c:pt>
                <c:pt idx="9">
                  <c:v>6.5000000000000002E-2</c:v>
                </c:pt>
                <c:pt idx="10">
                  <c:v>4.3999999999999997E-2</c:v>
                </c:pt>
                <c:pt idx="11">
                  <c:v>2.5999999999999999E-2</c:v>
                </c:pt>
                <c:pt idx="12">
                  <c:v>0.70500000000000063</c:v>
                </c:pt>
              </c:numCache>
            </c:numRef>
          </c:val>
          <c:smooth val="0"/>
        </c:ser>
        <c:dLbls>
          <c:showLegendKey val="0"/>
          <c:showVal val="0"/>
          <c:showCatName val="0"/>
          <c:showSerName val="0"/>
          <c:showPercent val="0"/>
          <c:showBubbleSize val="0"/>
        </c:dLbls>
        <c:marker val="1"/>
        <c:smooth val="0"/>
        <c:axId val="591751808"/>
        <c:axId val="591749888"/>
      </c:lineChart>
      <c:catAx>
        <c:axId val="591746176"/>
        <c:scaling>
          <c:orientation val="minMax"/>
        </c:scaling>
        <c:delete val="0"/>
        <c:axPos val="b"/>
        <c:numFmt formatCode="General" sourceLinked="0"/>
        <c:majorTickMark val="out"/>
        <c:minorTickMark val="none"/>
        <c:tickLblPos val="nextTo"/>
        <c:crossAx val="591747712"/>
        <c:crosses val="autoZero"/>
        <c:auto val="1"/>
        <c:lblAlgn val="ctr"/>
        <c:lblOffset val="100"/>
        <c:noMultiLvlLbl val="0"/>
      </c:catAx>
      <c:valAx>
        <c:axId val="591747712"/>
        <c:scaling>
          <c:orientation val="minMax"/>
        </c:scaling>
        <c:delete val="0"/>
        <c:axPos val="l"/>
        <c:majorGridlines/>
        <c:title>
          <c:tx>
            <c:rich>
              <a:bodyPr rot="-5400000" vert="horz"/>
              <a:lstStyle/>
              <a:p>
                <a:pPr>
                  <a:defRPr b="0"/>
                </a:pPr>
                <a:r>
                  <a:rPr lang="en-ZA" b="0"/>
                  <a:t>Exports (tons)</a:t>
                </a:r>
              </a:p>
            </c:rich>
          </c:tx>
          <c:layout>
            <c:manualLayout>
              <c:xMode val="edge"/>
              <c:yMode val="edge"/>
              <c:x val="2.2222222222222251E-2"/>
              <c:y val="0.18337780694079908"/>
            </c:manualLayout>
          </c:layout>
          <c:overlay val="0"/>
        </c:title>
        <c:numFmt formatCode="0" sourceLinked="0"/>
        <c:majorTickMark val="out"/>
        <c:minorTickMark val="none"/>
        <c:tickLblPos val="nextTo"/>
        <c:crossAx val="591746176"/>
        <c:crosses val="autoZero"/>
        <c:crossBetween val="between"/>
      </c:valAx>
      <c:valAx>
        <c:axId val="591749888"/>
        <c:scaling>
          <c:orientation val="minMax"/>
        </c:scaling>
        <c:delete val="0"/>
        <c:axPos val="r"/>
        <c:title>
          <c:tx>
            <c:rich>
              <a:bodyPr rot="-5400000" vert="horz"/>
              <a:lstStyle/>
              <a:p>
                <a:pPr>
                  <a:defRPr b="0"/>
                </a:pPr>
                <a:r>
                  <a:rPr lang="en-US" b="0"/>
                  <a:t>Imports (tons)</a:t>
                </a:r>
              </a:p>
            </c:rich>
          </c:tx>
          <c:layout>
            <c:manualLayout>
              <c:xMode val="edge"/>
              <c:yMode val="edge"/>
              <c:x val="0.94305555555555565"/>
              <c:y val="0.15384076990376203"/>
            </c:manualLayout>
          </c:layout>
          <c:overlay val="0"/>
        </c:title>
        <c:numFmt formatCode="0" sourceLinked="0"/>
        <c:majorTickMark val="out"/>
        <c:minorTickMark val="none"/>
        <c:tickLblPos val="nextTo"/>
        <c:crossAx val="591751808"/>
        <c:crosses val="max"/>
        <c:crossBetween val="between"/>
      </c:valAx>
      <c:catAx>
        <c:axId val="591751808"/>
        <c:scaling>
          <c:orientation val="minMax"/>
        </c:scaling>
        <c:delete val="1"/>
        <c:axPos val="b"/>
        <c:numFmt formatCode="General" sourceLinked="1"/>
        <c:majorTickMark val="out"/>
        <c:minorTickMark val="none"/>
        <c:tickLblPos val="none"/>
        <c:crossAx val="591749888"/>
        <c:crosses val="autoZero"/>
        <c:auto val="1"/>
        <c:lblAlgn val="ctr"/>
        <c:lblOffset val="100"/>
        <c:noMultiLvlLbl val="0"/>
      </c:catAx>
    </c:plotArea>
    <c:legend>
      <c:legendPos val="b"/>
      <c:overlay val="0"/>
    </c:legend>
    <c:plotVisOnly val="1"/>
    <c:dispBlanksAs val="gap"/>
    <c:showDLblsOverMax val="0"/>
  </c:chart>
  <c:spPr>
    <a:solidFill>
      <a:schemeClr val="accent3">
        <a:lumMod val="20000"/>
        <a:lumOff val="80000"/>
      </a:schemeClr>
    </a:solidFill>
  </c:spPr>
  <c:txPr>
    <a:bodyPr/>
    <a:lstStyle/>
    <a:p>
      <a:pPr>
        <a:defRPr>
          <a:latin typeface="Arial" pitchFamily="34" charset="0"/>
          <a:cs typeface="Arial" pitchFamily="34" charset="0"/>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'Production account 2010 benchm)'!$M$410</c:f>
              <c:strCache>
                <c:ptCount val="1"/>
                <c:pt idx="0">
                  <c:v>Total Milk Production</c:v>
                </c:pt>
              </c:strCache>
            </c:strRef>
          </c:tx>
          <c:spPr>
            <a:solidFill>
              <a:srgbClr val="005D28"/>
            </a:solidFill>
            <a:scene3d>
              <a:camera prst="orthographicFront"/>
              <a:lightRig rig="threePt" dir="t"/>
            </a:scene3d>
            <a:sp3d>
              <a:bevelT/>
            </a:sp3d>
          </c:spPr>
          <c:invertIfNegative val="0"/>
          <c:cat>
            <c:strRef>
              <c:f>'Production account 2010 benchm)'!$L$411:$L$423</c:f>
              <c:strCache>
                <c:ptCount val="13"/>
                <c:pt idx="0">
                  <c:v>Q1 2014</c:v>
                </c:pt>
                <c:pt idx="1">
                  <c:v>Q2 2014</c:v>
                </c:pt>
                <c:pt idx="2">
                  <c:v>Q3 2014</c:v>
                </c:pt>
                <c:pt idx="3">
                  <c:v>Q4 2014</c:v>
                </c:pt>
                <c:pt idx="4">
                  <c:v>Q1 2015</c:v>
                </c:pt>
                <c:pt idx="5">
                  <c:v>Q2 2015</c:v>
                </c:pt>
                <c:pt idx="6">
                  <c:v>Q3 2015</c:v>
                </c:pt>
                <c:pt idx="7">
                  <c:v>Q4 2015</c:v>
                </c:pt>
                <c:pt idx="8">
                  <c:v>Q1 2016</c:v>
                </c:pt>
                <c:pt idx="9">
                  <c:v>Q2 2016</c:v>
                </c:pt>
                <c:pt idx="10">
                  <c:v>Q3 2016</c:v>
                </c:pt>
                <c:pt idx="11">
                  <c:v>Q4 2016</c:v>
                </c:pt>
                <c:pt idx="12">
                  <c:v>Q1 2017</c:v>
                </c:pt>
              </c:strCache>
            </c:strRef>
          </c:cat>
          <c:val>
            <c:numRef>
              <c:f>'Production account 2010 benchm)'!$M$411:$M$423</c:f>
              <c:numCache>
                <c:formatCode>\ #\ ###\ ###</c:formatCode>
                <c:ptCount val="13"/>
                <c:pt idx="0">
                  <c:v>743712.3491311816</c:v>
                </c:pt>
                <c:pt idx="1">
                  <c:v>713675.34797437862</c:v>
                </c:pt>
                <c:pt idx="2">
                  <c:v>839444.60757790599</c:v>
                </c:pt>
                <c:pt idx="3">
                  <c:v>966088.15117165737</c:v>
                </c:pt>
                <c:pt idx="4">
                  <c:v>837875.3331802272</c:v>
                </c:pt>
                <c:pt idx="5">
                  <c:v>784132.53753436799</c:v>
                </c:pt>
                <c:pt idx="6">
                  <c:v>874352.81068397942</c:v>
                </c:pt>
                <c:pt idx="7">
                  <c:v>963503.85187667294</c:v>
                </c:pt>
                <c:pt idx="8">
                  <c:v>814759.28662062215</c:v>
                </c:pt>
                <c:pt idx="9">
                  <c:v>761764.83995839767</c:v>
                </c:pt>
                <c:pt idx="10">
                  <c:v>881837.43438241212</c:v>
                </c:pt>
                <c:pt idx="11" formatCode="#,###,###">
                  <c:v>978999.21128627355</c:v>
                </c:pt>
                <c:pt idx="12">
                  <c:v>868867.18586152582</c:v>
                </c:pt>
              </c:numCache>
            </c:numRef>
          </c:val>
        </c:ser>
        <c:dLbls>
          <c:showLegendKey val="0"/>
          <c:showVal val="0"/>
          <c:showCatName val="0"/>
          <c:showSerName val="0"/>
          <c:showPercent val="0"/>
          <c:showBubbleSize val="0"/>
        </c:dLbls>
        <c:gapWidth val="150"/>
        <c:axId val="591888768"/>
        <c:axId val="591890304"/>
      </c:barChart>
      <c:lineChart>
        <c:grouping val="standard"/>
        <c:varyColors val="0"/>
        <c:ser>
          <c:idx val="1"/>
          <c:order val="1"/>
          <c:tx>
            <c:strRef>
              <c:f>'Production account 2010 benchm)'!$N$410</c:f>
              <c:strCache>
                <c:ptCount val="1"/>
                <c:pt idx="0">
                  <c:v>Average Price received by farmers</c:v>
                </c:pt>
              </c:strCache>
            </c:strRef>
          </c:tx>
          <c:spPr>
            <a:ln>
              <a:solidFill>
                <a:srgbClr val="D8A851"/>
              </a:solidFill>
            </a:ln>
          </c:spPr>
          <c:marker>
            <c:symbol val="none"/>
          </c:marker>
          <c:cat>
            <c:strRef>
              <c:f>'Production account 2010 benchm)'!$L$411:$L$423</c:f>
              <c:strCache>
                <c:ptCount val="13"/>
                <c:pt idx="0">
                  <c:v>Q1 2014</c:v>
                </c:pt>
                <c:pt idx="1">
                  <c:v>Q2 2014</c:v>
                </c:pt>
                <c:pt idx="2">
                  <c:v>Q3 2014</c:v>
                </c:pt>
                <c:pt idx="3">
                  <c:v>Q4 2014</c:v>
                </c:pt>
                <c:pt idx="4">
                  <c:v>Q1 2015</c:v>
                </c:pt>
                <c:pt idx="5">
                  <c:v>Q2 2015</c:v>
                </c:pt>
                <c:pt idx="6">
                  <c:v>Q3 2015</c:v>
                </c:pt>
                <c:pt idx="7">
                  <c:v>Q4 2015</c:v>
                </c:pt>
                <c:pt idx="8">
                  <c:v>Q1 2016</c:v>
                </c:pt>
                <c:pt idx="9">
                  <c:v>Q2 2016</c:v>
                </c:pt>
                <c:pt idx="10">
                  <c:v>Q3 2016</c:v>
                </c:pt>
                <c:pt idx="11">
                  <c:v>Q4 2016</c:v>
                </c:pt>
                <c:pt idx="12">
                  <c:v>Q1 2017</c:v>
                </c:pt>
              </c:strCache>
            </c:strRef>
          </c:cat>
          <c:val>
            <c:numRef>
              <c:f>'Production account 2010 benchm)'!$N$411:$N$423</c:f>
              <c:numCache>
                <c:formatCode>0.00</c:formatCode>
                <c:ptCount val="13"/>
                <c:pt idx="0">
                  <c:v>4.0940168246579889</c:v>
                </c:pt>
                <c:pt idx="1">
                  <c:v>4.25</c:v>
                </c:pt>
                <c:pt idx="2">
                  <c:v>4.3</c:v>
                </c:pt>
                <c:pt idx="3">
                  <c:v>4.3499999999999996</c:v>
                </c:pt>
                <c:pt idx="4">
                  <c:v>4.4165451440340924</c:v>
                </c:pt>
                <c:pt idx="5">
                  <c:v>4.25</c:v>
                </c:pt>
                <c:pt idx="6">
                  <c:v>3.9863195215320952</c:v>
                </c:pt>
                <c:pt idx="7">
                  <c:v>3.8289168394617743</c:v>
                </c:pt>
                <c:pt idx="8">
                  <c:v>4.2823626090707938</c:v>
                </c:pt>
                <c:pt idx="9">
                  <c:v>4.5128690505959765</c:v>
                </c:pt>
                <c:pt idx="10">
                  <c:v>4.6851139021432875</c:v>
                </c:pt>
                <c:pt idx="11">
                  <c:v>4.6999999999999975</c:v>
                </c:pt>
                <c:pt idx="12">
                  <c:v>4.3540908533322833</c:v>
                </c:pt>
              </c:numCache>
            </c:numRef>
          </c:val>
          <c:smooth val="0"/>
        </c:ser>
        <c:dLbls>
          <c:showLegendKey val="0"/>
          <c:showVal val="0"/>
          <c:showCatName val="0"/>
          <c:showSerName val="0"/>
          <c:showPercent val="0"/>
          <c:showBubbleSize val="0"/>
        </c:dLbls>
        <c:marker val="1"/>
        <c:smooth val="0"/>
        <c:axId val="591906688"/>
        <c:axId val="591904768"/>
      </c:lineChart>
      <c:catAx>
        <c:axId val="591888768"/>
        <c:scaling>
          <c:orientation val="minMax"/>
        </c:scaling>
        <c:delete val="0"/>
        <c:axPos val="b"/>
        <c:numFmt formatCode="General" sourceLinked="0"/>
        <c:majorTickMark val="out"/>
        <c:minorTickMark val="none"/>
        <c:tickLblPos val="nextTo"/>
        <c:crossAx val="591890304"/>
        <c:crosses val="autoZero"/>
        <c:auto val="1"/>
        <c:lblAlgn val="ctr"/>
        <c:lblOffset val="100"/>
        <c:noMultiLvlLbl val="0"/>
      </c:catAx>
      <c:valAx>
        <c:axId val="591890304"/>
        <c:scaling>
          <c:orientation val="minMax"/>
        </c:scaling>
        <c:delete val="0"/>
        <c:axPos val="l"/>
        <c:majorGridlines/>
        <c:title>
          <c:tx>
            <c:rich>
              <a:bodyPr rot="-5400000" vert="horz"/>
              <a:lstStyle/>
              <a:p>
                <a:pPr>
                  <a:defRPr/>
                </a:pPr>
                <a:r>
                  <a:rPr lang="en-US"/>
                  <a:t>1000 Litres</a:t>
                </a:r>
              </a:p>
            </c:rich>
          </c:tx>
          <c:overlay val="0"/>
        </c:title>
        <c:numFmt formatCode="\ #\ ###\ ###" sourceLinked="1"/>
        <c:majorTickMark val="out"/>
        <c:minorTickMark val="none"/>
        <c:tickLblPos val="nextTo"/>
        <c:crossAx val="591888768"/>
        <c:crosses val="autoZero"/>
        <c:crossBetween val="between"/>
      </c:valAx>
      <c:valAx>
        <c:axId val="591904768"/>
        <c:scaling>
          <c:orientation val="minMax"/>
        </c:scaling>
        <c:delete val="0"/>
        <c:axPos val="r"/>
        <c:title>
          <c:tx>
            <c:rich>
              <a:bodyPr rot="-5400000" vert="horz"/>
              <a:lstStyle/>
              <a:p>
                <a:pPr>
                  <a:defRPr/>
                </a:pPr>
                <a:r>
                  <a:rPr lang="en-US"/>
                  <a:t>R/ Litre</a:t>
                </a:r>
              </a:p>
            </c:rich>
          </c:tx>
          <c:layout>
            <c:manualLayout>
              <c:xMode val="edge"/>
              <c:yMode val="edge"/>
              <c:x val="0.94577685682243862"/>
              <c:y val="0.26980791199752296"/>
            </c:manualLayout>
          </c:layout>
          <c:overlay val="0"/>
        </c:title>
        <c:numFmt formatCode="0.00" sourceLinked="1"/>
        <c:majorTickMark val="out"/>
        <c:minorTickMark val="none"/>
        <c:tickLblPos val="nextTo"/>
        <c:crossAx val="591906688"/>
        <c:crosses val="max"/>
        <c:crossBetween val="between"/>
      </c:valAx>
      <c:catAx>
        <c:axId val="591906688"/>
        <c:scaling>
          <c:orientation val="minMax"/>
        </c:scaling>
        <c:delete val="1"/>
        <c:axPos val="b"/>
        <c:numFmt formatCode="General" sourceLinked="1"/>
        <c:majorTickMark val="out"/>
        <c:minorTickMark val="none"/>
        <c:tickLblPos val="none"/>
        <c:crossAx val="591904768"/>
        <c:crosses val="autoZero"/>
        <c:auto val="1"/>
        <c:lblAlgn val="ctr"/>
        <c:lblOffset val="100"/>
        <c:noMultiLvlLbl val="0"/>
      </c:catAx>
    </c:plotArea>
    <c:legend>
      <c:legendPos val="b"/>
      <c:overlay val="0"/>
    </c:legend>
    <c:plotVisOnly val="1"/>
    <c:dispBlanksAs val="gap"/>
    <c:showDLblsOverMax val="0"/>
  </c:chart>
  <c:spPr>
    <a:solidFill>
      <a:schemeClr val="accent3">
        <a:lumMod val="20000"/>
        <a:lumOff val="80000"/>
      </a:schemeClr>
    </a:solidFill>
  </c:spPr>
  <c:txPr>
    <a:bodyPr/>
    <a:lstStyle/>
    <a:p>
      <a:pPr>
        <a:defRPr b="0">
          <a:latin typeface="Arial" pitchFamily="34" charset="0"/>
          <a:cs typeface="Arial" pitchFamily="34" charset="0"/>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 (85)'!$AH$6</c:f>
              <c:strCache>
                <c:ptCount val="1"/>
                <c:pt idx="0">
                  <c:v>Exports</c:v>
                </c:pt>
              </c:strCache>
            </c:strRef>
          </c:tx>
          <c:spPr>
            <a:ln>
              <a:solidFill>
                <a:srgbClr val="005D28"/>
              </a:solidFill>
            </a:ln>
          </c:spPr>
          <c:marker>
            <c:symbol val="none"/>
          </c:marker>
          <c:cat>
            <c:strRef>
              <c:f>'sheet (85)'!$AI$5:$AU$5</c:f>
              <c:strCache>
                <c:ptCount val="13"/>
                <c:pt idx="0">
                  <c:v>1st/14 </c:v>
                </c:pt>
                <c:pt idx="1">
                  <c:v>2nd/14 </c:v>
                </c:pt>
                <c:pt idx="2">
                  <c:v>3rd/14 </c:v>
                </c:pt>
                <c:pt idx="3">
                  <c:v>4th/14 </c:v>
                </c:pt>
                <c:pt idx="4">
                  <c:v>1st/15 </c:v>
                </c:pt>
                <c:pt idx="5">
                  <c:v>2nd/15 </c:v>
                </c:pt>
                <c:pt idx="6">
                  <c:v>3rd/15 </c:v>
                </c:pt>
                <c:pt idx="7">
                  <c:v>4th/15 </c:v>
                </c:pt>
                <c:pt idx="8">
                  <c:v>1st/16 </c:v>
                </c:pt>
                <c:pt idx="9">
                  <c:v>2nd/16 </c:v>
                </c:pt>
                <c:pt idx="10">
                  <c:v>3rd/16 </c:v>
                </c:pt>
                <c:pt idx="11">
                  <c:v>4th/16 </c:v>
                </c:pt>
                <c:pt idx="12">
                  <c:v>1st/16 </c:v>
                </c:pt>
              </c:strCache>
            </c:strRef>
          </c:cat>
          <c:val>
            <c:numRef>
              <c:f>'sheet (85)'!$AI$6:$AU$6</c:f>
              <c:numCache>
                <c:formatCode>#,##0</c:formatCode>
                <c:ptCount val="13"/>
                <c:pt idx="0">
                  <c:v>18964688</c:v>
                </c:pt>
                <c:pt idx="1">
                  <c:v>17703284</c:v>
                </c:pt>
                <c:pt idx="2">
                  <c:v>20808251</c:v>
                </c:pt>
                <c:pt idx="3">
                  <c:v>24520494</c:v>
                </c:pt>
                <c:pt idx="4">
                  <c:v>20337553</c:v>
                </c:pt>
                <c:pt idx="5">
                  <c:v>19865533</c:v>
                </c:pt>
                <c:pt idx="6">
                  <c:v>21652627</c:v>
                </c:pt>
                <c:pt idx="7">
                  <c:v>26622339</c:v>
                </c:pt>
                <c:pt idx="8">
                  <c:v>19992102</c:v>
                </c:pt>
                <c:pt idx="9">
                  <c:v>21028356</c:v>
                </c:pt>
                <c:pt idx="10">
                  <c:v>18008938</c:v>
                </c:pt>
                <c:pt idx="11">
                  <c:v>21627999</c:v>
                </c:pt>
                <c:pt idx="12">
                  <c:v>19548598</c:v>
                </c:pt>
              </c:numCache>
            </c:numRef>
          </c:val>
          <c:smooth val="0"/>
        </c:ser>
        <c:ser>
          <c:idx val="1"/>
          <c:order val="1"/>
          <c:tx>
            <c:strRef>
              <c:f>'sheet (85)'!$AH$7</c:f>
              <c:strCache>
                <c:ptCount val="1"/>
                <c:pt idx="0">
                  <c:v>Imports</c:v>
                </c:pt>
              </c:strCache>
            </c:strRef>
          </c:tx>
          <c:marker>
            <c:symbol val="none"/>
          </c:marker>
          <c:cat>
            <c:strRef>
              <c:f>'sheet (85)'!$AI$5:$AU$5</c:f>
              <c:strCache>
                <c:ptCount val="13"/>
                <c:pt idx="0">
                  <c:v>1st/14 </c:v>
                </c:pt>
                <c:pt idx="1">
                  <c:v>2nd/14 </c:v>
                </c:pt>
                <c:pt idx="2">
                  <c:v>3rd/14 </c:v>
                </c:pt>
                <c:pt idx="3">
                  <c:v>4th/14 </c:v>
                </c:pt>
                <c:pt idx="4">
                  <c:v>1st/15 </c:v>
                </c:pt>
                <c:pt idx="5">
                  <c:v>2nd/15 </c:v>
                </c:pt>
                <c:pt idx="6">
                  <c:v>3rd/15 </c:v>
                </c:pt>
                <c:pt idx="7">
                  <c:v>4th/15 </c:v>
                </c:pt>
                <c:pt idx="8">
                  <c:v>1st/16 </c:v>
                </c:pt>
                <c:pt idx="9">
                  <c:v>2nd/16 </c:v>
                </c:pt>
                <c:pt idx="10">
                  <c:v>3rd/16 </c:v>
                </c:pt>
                <c:pt idx="11">
                  <c:v>4th/16 </c:v>
                </c:pt>
                <c:pt idx="12">
                  <c:v>1st/16 </c:v>
                </c:pt>
              </c:strCache>
            </c:strRef>
          </c:cat>
          <c:val>
            <c:numRef>
              <c:f>'sheet (85)'!$AI$7:$AU$7</c:f>
              <c:numCache>
                <c:formatCode>#,##0</c:formatCode>
                <c:ptCount val="13"/>
                <c:pt idx="0">
                  <c:v>3771993</c:v>
                </c:pt>
                <c:pt idx="1">
                  <c:v>1352255</c:v>
                </c:pt>
                <c:pt idx="2">
                  <c:v>2032929</c:v>
                </c:pt>
                <c:pt idx="3">
                  <c:v>1136331</c:v>
                </c:pt>
                <c:pt idx="4">
                  <c:v>5701570</c:v>
                </c:pt>
                <c:pt idx="5">
                  <c:v>15007117</c:v>
                </c:pt>
                <c:pt idx="6">
                  <c:v>7114599</c:v>
                </c:pt>
                <c:pt idx="7">
                  <c:v>140792</c:v>
                </c:pt>
                <c:pt idx="8">
                  <c:v>58886</c:v>
                </c:pt>
                <c:pt idx="9">
                  <c:v>1344813</c:v>
                </c:pt>
                <c:pt idx="10">
                  <c:v>7434145</c:v>
                </c:pt>
                <c:pt idx="11">
                  <c:v>10384822</c:v>
                </c:pt>
                <c:pt idx="12">
                  <c:v>7718617</c:v>
                </c:pt>
              </c:numCache>
            </c:numRef>
          </c:val>
          <c:smooth val="0"/>
        </c:ser>
        <c:dLbls>
          <c:showLegendKey val="0"/>
          <c:showVal val="0"/>
          <c:showCatName val="0"/>
          <c:showSerName val="0"/>
          <c:showPercent val="0"/>
          <c:showBubbleSize val="0"/>
        </c:dLbls>
        <c:marker val="1"/>
        <c:smooth val="0"/>
        <c:axId val="591915648"/>
        <c:axId val="591933824"/>
      </c:lineChart>
      <c:catAx>
        <c:axId val="591915648"/>
        <c:scaling>
          <c:orientation val="minMax"/>
        </c:scaling>
        <c:delete val="0"/>
        <c:axPos val="b"/>
        <c:numFmt formatCode="General" sourceLinked="0"/>
        <c:majorTickMark val="out"/>
        <c:minorTickMark val="none"/>
        <c:tickLblPos val="nextTo"/>
        <c:crossAx val="591933824"/>
        <c:crosses val="autoZero"/>
        <c:auto val="1"/>
        <c:lblAlgn val="ctr"/>
        <c:lblOffset val="100"/>
        <c:noMultiLvlLbl val="0"/>
      </c:catAx>
      <c:valAx>
        <c:axId val="591933824"/>
        <c:scaling>
          <c:orientation val="minMax"/>
        </c:scaling>
        <c:delete val="0"/>
        <c:axPos val="l"/>
        <c:majorGridlines/>
        <c:numFmt formatCode="#,##0" sourceLinked="1"/>
        <c:majorTickMark val="out"/>
        <c:minorTickMark val="none"/>
        <c:tickLblPos val="nextTo"/>
        <c:crossAx val="591915648"/>
        <c:crosses val="autoZero"/>
        <c:crossBetween val="between"/>
        <c:dispUnits>
          <c:builtInUnit val="millions"/>
          <c:dispUnitsLbl>
            <c:layout>
              <c:manualLayout>
                <c:xMode val="edge"/>
                <c:yMode val="edge"/>
                <c:x val="2.2222222222222251E-2"/>
                <c:y val="0.18981481481481491"/>
              </c:manualLayout>
            </c:layout>
            <c:tx>
              <c:rich>
                <a:bodyPr/>
                <a:lstStyle/>
                <a:p>
                  <a:pPr>
                    <a:defRPr b="0"/>
                  </a:pPr>
                  <a:r>
                    <a:rPr lang="en-ZA" b="0"/>
                    <a:t>Million litres</a:t>
                  </a:r>
                </a:p>
              </c:rich>
            </c:tx>
          </c:dispUnitsLbl>
        </c:dispUnits>
      </c:valAx>
    </c:plotArea>
    <c:legend>
      <c:legendPos val="b"/>
      <c:overlay val="0"/>
    </c:legend>
    <c:plotVisOnly val="1"/>
    <c:dispBlanksAs val="gap"/>
    <c:showDLblsOverMax val="0"/>
  </c:chart>
  <c:spPr>
    <a:solidFill>
      <a:schemeClr val="accent3">
        <a:lumMod val="20000"/>
        <a:lumOff val="80000"/>
      </a:schemeClr>
    </a:solidFill>
  </c:spPr>
  <c:txPr>
    <a:bodyPr/>
    <a:lstStyle/>
    <a:p>
      <a:pPr>
        <a:defRPr>
          <a:latin typeface="Arial" pitchFamily="34" charset="0"/>
          <a:cs typeface="Arial" pitchFamily="34" charset="0"/>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2"/>
          <c:tx>
            <c:strRef>
              <c:f>'Agric Exp &amp; Imports'!$Y$5</c:f>
              <c:strCache>
                <c:ptCount val="1"/>
                <c:pt idx="0">
                  <c:v>Trade Balance</c:v>
                </c:pt>
              </c:strCache>
            </c:strRef>
          </c:tx>
          <c:spPr>
            <a:solidFill>
              <a:srgbClr val="005D28"/>
            </a:solidFill>
            <a:scene3d>
              <a:camera prst="orthographicFront"/>
              <a:lightRig rig="threePt" dir="t"/>
            </a:scene3d>
            <a:sp3d>
              <a:bevelT/>
            </a:sp3d>
          </c:spPr>
          <c:invertIfNegative val="0"/>
          <c:cat>
            <c:strRef>
              <c:f>'Agric Exp &amp; Imports'!$Z$2:$AH$2</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'Agric Exp &amp; Imports'!$Z$5:$AH$5</c:f>
              <c:numCache>
                <c:formatCode>#,##0</c:formatCode>
                <c:ptCount val="9"/>
                <c:pt idx="0">
                  <c:v>6237984247</c:v>
                </c:pt>
                <c:pt idx="1">
                  <c:v>10762138086</c:v>
                </c:pt>
                <c:pt idx="2">
                  <c:v>11865402424</c:v>
                </c:pt>
                <c:pt idx="3">
                  <c:v>6798131363</c:v>
                </c:pt>
                <c:pt idx="4">
                  <c:v>7165783494</c:v>
                </c:pt>
                <c:pt idx="5">
                  <c:v>12329540244</c:v>
                </c:pt>
                <c:pt idx="6">
                  <c:v>11200015100</c:v>
                </c:pt>
                <c:pt idx="7">
                  <c:v>5265463574</c:v>
                </c:pt>
                <c:pt idx="8">
                  <c:v>5891470103</c:v>
                </c:pt>
              </c:numCache>
            </c:numRef>
          </c:val>
        </c:ser>
        <c:dLbls>
          <c:showLegendKey val="0"/>
          <c:showVal val="0"/>
          <c:showCatName val="0"/>
          <c:showSerName val="0"/>
          <c:showPercent val="0"/>
          <c:showBubbleSize val="0"/>
        </c:dLbls>
        <c:gapWidth val="150"/>
        <c:axId val="591955456"/>
        <c:axId val="591957376"/>
      </c:barChart>
      <c:lineChart>
        <c:grouping val="standard"/>
        <c:varyColors val="0"/>
        <c:ser>
          <c:idx val="0"/>
          <c:order val="0"/>
          <c:tx>
            <c:strRef>
              <c:f>'Agric Exp &amp; Imports'!$Y$3</c:f>
              <c:strCache>
                <c:ptCount val="1"/>
                <c:pt idx="0">
                  <c:v>Exports</c:v>
                </c:pt>
              </c:strCache>
            </c:strRef>
          </c:tx>
          <c:spPr>
            <a:ln>
              <a:solidFill>
                <a:srgbClr val="F9671C"/>
              </a:solidFill>
            </a:ln>
          </c:spPr>
          <c:marker>
            <c:spPr>
              <a:solidFill>
                <a:srgbClr val="F9671C"/>
              </a:solidFill>
              <a:ln>
                <a:solidFill>
                  <a:srgbClr val="F9671C"/>
                </a:solidFill>
              </a:ln>
            </c:spPr>
          </c:marker>
          <c:cat>
            <c:strRef>
              <c:f>'Agric Exp &amp; Imports'!$Z$2:$AH$2</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'Agric Exp &amp; Imports'!$Z$3:$AH$3</c:f>
              <c:numCache>
                <c:formatCode>#,##0</c:formatCode>
                <c:ptCount val="9"/>
                <c:pt idx="0">
                  <c:v>23628237387</c:v>
                </c:pt>
                <c:pt idx="1">
                  <c:v>27958166678</c:v>
                </c:pt>
                <c:pt idx="2">
                  <c:v>32226708797</c:v>
                </c:pt>
                <c:pt idx="3">
                  <c:v>28098957471</c:v>
                </c:pt>
                <c:pt idx="4">
                  <c:v>29117671112</c:v>
                </c:pt>
                <c:pt idx="5">
                  <c:v>34573101743</c:v>
                </c:pt>
                <c:pt idx="6">
                  <c:v>35804500315</c:v>
                </c:pt>
                <c:pt idx="7">
                  <c:v>28516296122</c:v>
                </c:pt>
                <c:pt idx="8">
                  <c:v>28222281638</c:v>
                </c:pt>
              </c:numCache>
            </c:numRef>
          </c:val>
          <c:smooth val="0"/>
        </c:ser>
        <c:ser>
          <c:idx val="1"/>
          <c:order val="1"/>
          <c:tx>
            <c:strRef>
              <c:f>'Agric Exp &amp; Imports'!$Y$4</c:f>
              <c:strCache>
                <c:ptCount val="1"/>
                <c:pt idx="0">
                  <c:v>Imports</c:v>
                </c:pt>
              </c:strCache>
            </c:strRef>
          </c:tx>
          <c:spPr>
            <a:ln>
              <a:solidFill>
                <a:srgbClr val="D8A851"/>
              </a:solidFill>
            </a:ln>
          </c:spPr>
          <c:marker>
            <c:spPr>
              <a:solidFill>
                <a:srgbClr val="D8A851"/>
              </a:solidFill>
              <a:ln>
                <a:solidFill>
                  <a:srgbClr val="D8A851"/>
                </a:solidFill>
              </a:ln>
            </c:spPr>
          </c:marker>
          <c:cat>
            <c:strRef>
              <c:f>'Agric Exp &amp; Imports'!$Z$2:$AH$2</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'Agric Exp &amp; Imports'!$Z$4:$AH$4</c:f>
              <c:numCache>
                <c:formatCode>#,##0</c:formatCode>
                <c:ptCount val="9"/>
                <c:pt idx="0">
                  <c:v>17390253140</c:v>
                </c:pt>
                <c:pt idx="1">
                  <c:v>17196028592</c:v>
                </c:pt>
                <c:pt idx="2">
                  <c:v>20361306373</c:v>
                </c:pt>
                <c:pt idx="3">
                  <c:v>21300826108</c:v>
                </c:pt>
                <c:pt idx="4">
                  <c:v>21951887618</c:v>
                </c:pt>
                <c:pt idx="5">
                  <c:v>22243561499</c:v>
                </c:pt>
                <c:pt idx="6">
                  <c:v>24604485215</c:v>
                </c:pt>
                <c:pt idx="7">
                  <c:v>23250832548</c:v>
                </c:pt>
                <c:pt idx="8">
                  <c:v>22330811535</c:v>
                </c:pt>
              </c:numCache>
            </c:numRef>
          </c:val>
          <c:smooth val="0"/>
        </c:ser>
        <c:dLbls>
          <c:showLegendKey val="0"/>
          <c:showVal val="0"/>
          <c:showCatName val="0"/>
          <c:showSerName val="0"/>
          <c:showPercent val="0"/>
          <c:showBubbleSize val="0"/>
        </c:dLbls>
        <c:marker val="1"/>
        <c:smooth val="0"/>
        <c:axId val="591955456"/>
        <c:axId val="591957376"/>
      </c:lineChart>
      <c:catAx>
        <c:axId val="591955456"/>
        <c:scaling>
          <c:orientation val="minMax"/>
        </c:scaling>
        <c:delete val="0"/>
        <c:axPos val="b"/>
        <c:numFmt formatCode="General" sourceLinked="0"/>
        <c:majorTickMark val="out"/>
        <c:minorTickMark val="none"/>
        <c:tickLblPos val="nextTo"/>
        <c:crossAx val="591957376"/>
        <c:crosses val="autoZero"/>
        <c:auto val="1"/>
        <c:lblAlgn val="ctr"/>
        <c:lblOffset val="100"/>
        <c:noMultiLvlLbl val="0"/>
      </c:catAx>
      <c:valAx>
        <c:axId val="591957376"/>
        <c:scaling>
          <c:orientation val="minMax"/>
        </c:scaling>
        <c:delete val="0"/>
        <c:axPos val="l"/>
        <c:majorGridlines/>
        <c:numFmt formatCode="#,##0" sourceLinked="1"/>
        <c:majorTickMark val="out"/>
        <c:minorTickMark val="none"/>
        <c:tickLblPos val="nextTo"/>
        <c:crossAx val="591955456"/>
        <c:crosses val="autoZero"/>
        <c:crossBetween val="between"/>
        <c:dispUnits>
          <c:builtInUnit val="billions"/>
          <c:dispUnitsLbl>
            <c:layout>
              <c:manualLayout>
                <c:xMode val="edge"/>
                <c:yMode val="edge"/>
                <c:x val="2.2222222222222251E-2"/>
                <c:y val="0.24537037037037041"/>
              </c:manualLayout>
            </c:layout>
            <c:tx>
              <c:rich>
                <a:bodyPr/>
                <a:lstStyle/>
                <a:p>
                  <a:pPr>
                    <a:defRPr/>
                  </a:pPr>
                  <a:r>
                    <a:rPr lang="en-ZA"/>
                    <a:t>R billion</a:t>
                  </a:r>
                </a:p>
              </c:rich>
            </c:tx>
          </c:dispUnitsLbl>
        </c:dispUnits>
      </c:valAx>
    </c:plotArea>
    <c:legend>
      <c:legendPos val="b"/>
      <c:overlay val="0"/>
    </c:legend>
    <c:plotVisOnly val="1"/>
    <c:dispBlanksAs val="gap"/>
    <c:showDLblsOverMax val="0"/>
  </c:chart>
  <c:spPr>
    <a:solidFill>
      <a:schemeClr val="accent3">
        <a:lumMod val="20000"/>
        <a:lumOff val="80000"/>
      </a:schemeClr>
    </a:solidFill>
  </c:spPr>
  <c:txPr>
    <a:bodyPr/>
    <a:lstStyle/>
    <a:p>
      <a:pPr>
        <a:defRPr b="0">
          <a:latin typeface="Arial" pitchFamily="34" charset="0"/>
          <a:cs typeface="Arial" pitchFamily="34" charset="0"/>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'Agric Exp &amp; Imports'!$Y$22</c:f>
              <c:strCache>
                <c:ptCount val="1"/>
                <c:pt idx="0">
                  <c:v>Netherlands</c:v>
                </c:pt>
              </c:strCache>
            </c:strRef>
          </c:tx>
          <c:spPr>
            <a:ln>
              <a:solidFill>
                <a:srgbClr val="005D28"/>
              </a:solidFill>
            </a:ln>
          </c:spPr>
          <c:marker>
            <c:spPr>
              <a:solidFill>
                <a:srgbClr val="005D28"/>
              </a:solidFill>
              <a:ln>
                <a:solidFill>
                  <a:srgbClr val="005D28"/>
                </a:solidFill>
              </a:ln>
            </c:spPr>
          </c:marker>
          <c:cat>
            <c:strRef>
              <c:f>'Agric Exp &amp; Imports'!$Z$21:$AH$21</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'Agric Exp &amp; Imports'!$Z$22:$AH$22</c:f>
              <c:numCache>
                <c:formatCode>#,##0</c:formatCode>
                <c:ptCount val="9"/>
                <c:pt idx="0">
                  <c:v>2428534735</c:v>
                </c:pt>
                <c:pt idx="1">
                  <c:v>2137063874</c:v>
                </c:pt>
                <c:pt idx="2">
                  <c:v>2734185656</c:v>
                </c:pt>
                <c:pt idx="3">
                  <c:v>1999490923</c:v>
                </c:pt>
                <c:pt idx="4">
                  <c:v>2932479102</c:v>
                </c:pt>
                <c:pt idx="5">
                  <c:v>3132227809</c:v>
                </c:pt>
                <c:pt idx="6">
                  <c:v>3145035852</c:v>
                </c:pt>
                <c:pt idx="7">
                  <c:v>1879619309</c:v>
                </c:pt>
                <c:pt idx="8">
                  <c:v>3135115792</c:v>
                </c:pt>
              </c:numCache>
            </c:numRef>
          </c:val>
          <c:smooth val="0"/>
        </c:ser>
        <c:ser>
          <c:idx val="1"/>
          <c:order val="1"/>
          <c:tx>
            <c:strRef>
              <c:f>'Agric Exp &amp; Imports'!$Y$23</c:f>
              <c:strCache>
                <c:ptCount val="1"/>
                <c:pt idx="0">
                  <c:v>United Kingdom</c:v>
                </c:pt>
              </c:strCache>
            </c:strRef>
          </c:tx>
          <c:cat>
            <c:strRef>
              <c:f>'Agric Exp &amp; Imports'!$Z$21:$AH$21</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'Agric Exp &amp; Imports'!$Z$23:$AH$23</c:f>
              <c:numCache>
                <c:formatCode>#,##0</c:formatCode>
                <c:ptCount val="9"/>
                <c:pt idx="0">
                  <c:v>2147975715</c:v>
                </c:pt>
                <c:pt idx="1">
                  <c:v>2212948538</c:v>
                </c:pt>
                <c:pt idx="2">
                  <c:v>2129453205</c:v>
                </c:pt>
                <c:pt idx="3">
                  <c:v>2071537121</c:v>
                </c:pt>
                <c:pt idx="4">
                  <c:v>2778527279</c:v>
                </c:pt>
                <c:pt idx="5">
                  <c:v>2738013265</c:v>
                </c:pt>
                <c:pt idx="6">
                  <c:v>2335734049</c:v>
                </c:pt>
                <c:pt idx="7">
                  <c:v>1845706833</c:v>
                </c:pt>
                <c:pt idx="8">
                  <c:v>2344254765</c:v>
                </c:pt>
              </c:numCache>
            </c:numRef>
          </c:val>
          <c:smooth val="0"/>
        </c:ser>
        <c:ser>
          <c:idx val="2"/>
          <c:order val="2"/>
          <c:tx>
            <c:strRef>
              <c:f>'Agric Exp &amp; Imports'!$Y$24</c:f>
              <c:strCache>
                <c:ptCount val="1"/>
                <c:pt idx="0">
                  <c:v>Namibia</c:v>
                </c:pt>
              </c:strCache>
            </c:strRef>
          </c:tx>
          <c:cat>
            <c:strRef>
              <c:f>'Agric Exp &amp; Imports'!$Z$21:$AH$21</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'Agric Exp &amp; Imports'!$Z$24:$AH$24</c:f>
              <c:numCache>
                <c:formatCode>#,##0</c:formatCode>
                <c:ptCount val="9"/>
                <c:pt idx="0">
                  <c:v>2100984117</c:v>
                </c:pt>
                <c:pt idx="1">
                  <c:v>1984611867</c:v>
                </c:pt>
                <c:pt idx="2">
                  <c:v>2316227701</c:v>
                </c:pt>
                <c:pt idx="3">
                  <c:v>2617354835</c:v>
                </c:pt>
                <c:pt idx="4">
                  <c:v>2039093066</c:v>
                </c:pt>
                <c:pt idx="5">
                  <c:v>2162013080</c:v>
                </c:pt>
                <c:pt idx="6">
                  <c:v>2503400616</c:v>
                </c:pt>
                <c:pt idx="7">
                  <c:v>2628898315</c:v>
                </c:pt>
                <c:pt idx="8">
                  <c:v>2021278937</c:v>
                </c:pt>
              </c:numCache>
            </c:numRef>
          </c:val>
          <c:smooth val="0"/>
        </c:ser>
        <c:dLbls>
          <c:showLegendKey val="0"/>
          <c:showVal val="0"/>
          <c:showCatName val="0"/>
          <c:showSerName val="0"/>
          <c:showPercent val="0"/>
          <c:showBubbleSize val="0"/>
        </c:dLbls>
        <c:marker val="1"/>
        <c:smooth val="0"/>
        <c:axId val="592102528"/>
        <c:axId val="592104064"/>
      </c:lineChart>
      <c:catAx>
        <c:axId val="592102528"/>
        <c:scaling>
          <c:orientation val="minMax"/>
        </c:scaling>
        <c:delete val="0"/>
        <c:axPos val="b"/>
        <c:numFmt formatCode="General" sourceLinked="0"/>
        <c:majorTickMark val="out"/>
        <c:minorTickMark val="none"/>
        <c:tickLblPos val="nextTo"/>
        <c:crossAx val="592104064"/>
        <c:crosses val="autoZero"/>
        <c:auto val="1"/>
        <c:lblAlgn val="ctr"/>
        <c:lblOffset val="100"/>
        <c:noMultiLvlLbl val="0"/>
      </c:catAx>
      <c:valAx>
        <c:axId val="592104064"/>
        <c:scaling>
          <c:orientation val="minMax"/>
        </c:scaling>
        <c:delete val="0"/>
        <c:axPos val="l"/>
        <c:majorGridlines/>
        <c:numFmt formatCode="#,##0" sourceLinked="1"/>
        <c:majorTickMark val="out"/>
        <c:minorTickMark val="none"/>
        <c:tickLblPos val="nextTo"/>
        <c:crossAx val="592102528"/>
        <c:crosses val="autoZero"/>
        <c:crossBetween val="between"/>
        <c:dispUnits>
          <c:builtInUnit val="millions"/>
          <c:dispUnitsLbl>
            <c:layout>
              <c:manualLayout>
                <c:xMode val="edge"/>
                <c:yMode val="edge"/>
                <c:x val="1.9444444444444445E-2"/>
                <c:y val="0.23195610965296032"/>
              </c:manualLayout>
            </c:layout>
            <c:tx>
              <c:rich>
                <a:bodyPr/>
                <a:lstStyle/>
                <a:p>
                  <a:pPr>
                    <a:defRPr/>
                  </a:pPr>
                  <a:r>
                    <a:rPr lang="en-ZA"/>
                    <a:t>R million</a:t>
                  </a:r>
                </a:p>
              </c:rich>
            </c:tx>
          </c:dispUnitsLbl>
        </c:dispUnits>
      </c:valAx>
    </c:plotArea>
    <c:legend>
      <c:legendPos val="b"/>
      <c:overlay val="0"/>
    </c:legend>
    <c:plotVisOnly val="1"/>
    <c:dispBlanksAs val="gap"/>
    <c:showDLblsOverMax val="0"/>
  </c:chart>
  <c:spPr>
    <a:solidFill>
      <a:schemeClr val="accent3">
        <a:lumMod val="20000"/>
        <a:lumOff val="80000"/>
      </a:schemeClr>
    </a:solidFill>
  </c:spPr>
  <c:txPr>
    <a:bodyPr/>
    <a:lstStyle/>
    <a:p>
      <a:pPr>
        <a:defRPr b="0">
          <a:latin typeface="Arial" pitchFamily="34" charset="0"/>
          <a:cs typeface="Arial" pitchFamily="34" charset="0"/>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'Agric trade by products'!$AF$6:$AG$6</c:f>
              <c:strCache>
                <c:ptCount val="1"/>
                <c:pt idx="0">
                  <c:v>080610 Grapes, Fresh</c:v>
                </c:pt>
              </c:strCache>
            </c:strRef>
          </c:tx>
          <c:spPr>
            <a:solidFill>
              <a:srgbClr val="005D28"/>
            </a:solidFill>
            <a:scene3d>
              <a:camera prst="orthographicFront"/>
              <a:lightRig rig="threePt" dir="t"/>
            </a:scene3d>
            <a:sp3d>
              <a:bevelT/>
            </a:sp3d>
          </c:spPr>
          <c:invertIfNegative val="0"/>
          <c:cat>
            <c:strRef>
              <c:f>'Agric trade by products'!$AH$5:$AP$5</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'Agric trade by products'!$AH$6:$AP$6</c:f>
              <c:numCache>
                <c:formatCode>#,##0</c:formatCode>
                <c:ptCount val="9"/>
                <c:pt idx="0">
                  <c:v>3668841563</c:v>
                </c:pt>
                <c:pt idx="1">
                  <c:v>186660499</c:v>
                </c:pt>
                <c:pt idx="2">
                  <c:v>18448022</c:v>
                </c:pt>
                <c:pt idx="3">
                  <c:v>2254283041</c:v>
                </c:pt>
                <c:pt idx="4">
                  <c:v>4186584296</c:v>
                </c:pt>
                <c:pt idx="5">
                  <c:v>214153586</c:v>
                </c:pt>
                <c:pt idx="6">
                  <c:v>19545585</c:v>
                </c:pt>
                <c:pt idx="7">
                  <c:v>1994933172</c:v>
                </c:pt>
                <c:pt idx="8">
                  <c:v>5012238361</c:v>
                </c:pt>
              </c:numCache>
            </c:numRef>
          </c:val>
        </c:ser>
        <c:ser>
          <c:idx val="1"/>
          <c:order val="1"/>
          <c:tx>
            <c:strRef>
              <c:f>'Agric trade by products'!$AF$7:$AG$7</c:f>
              <c:strCache>
                <c:ptCount val="1"/>
                <c:pt idx="0">
                  <c:v>220421 Wine, Fr Grape Nesoi &amp; Gr Must W Alc, Nov 2 Liters</c:v>
                </c:pt>
              </c:strCache>
            </c:strRef>
          </c:tx>
          <c:spPr>
            <a:scene3d>
              <a:camera prst="orthographicFront"/>
              <a:lightRig rig="threePt" dir="t"/>
            </a:scene3d>
            <a:sp3d>
              <a:bevelT/>
            </a:sp3d>
          </c:spPr>
          <c:invertIfNegative val="0"/>
          <c:cat>
            <c:strRef>
              <c:f>'Agric trade by products'!$AH$5:$AP$5</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'Agric trade by products'!$AH$7:$AP$7</c:f>
              <c:numCache>
                <c:formatCode>#,##0</c:formatCode>
                <c:ptCount val="9"/>
                <c:pt idx="0">
                  <c:v>1239407484</c:v>
                </c:pt>
                <c:pt idx="1">
                  <c:v>1411786169</c:v>
                </c:pt>
                <c:pt idx="2">
                  <c:v>1637151144</c:v>
                </c:pt>
                <c:pt idx="3">
                  <c:v>1673307375</c:v>
                </c:pt>
                <c:pt idx="4">
                  <c:v>1394490961</c:v>
                </c:pt>
                <c:pt idx="5">
                  <c:v>1720574451</c:v>
                </c:pt>
                <c:pt idx="6">
                  <c:v>1686159444</c:v>
                </c:pt>
                <c:pt idx="7">
                  <c:v>1753284741</c:v>
                </c:pt>
                <c:pt idx="8">
                  <c:v>1354877590</c:v>
                </c:pt>
              </c:numCache>
            </c:numRef>
          </c:val>
        </c:ser>
        <c:ser>
          <c:idx val="2"/>
          <c:order val="2"/>
          <c:tx>
            <c:strRef>
              <c:f>'Agric trade by products'!$AF$8:$AG$8</c:f>
              <c:strCache>
                <c:ptCount val="1"/>
                <c:pt idx="0">
                  <c:v>510111 Wool, Not Carded Or Combed, Greasy, Shorn</c:v>
                </c:pt>
              </c:strCache>
            </c:strRef>
          </c:tx>
          <c:spPr>
            <a:scene3d>
              <a:camera prst="orthographicFront"/>
              <a:lightRig rig="threePt" dir="t"/>
            </a:scene3d>
            <a:sp3d>
              <a:bevelT/>
            </a:sp3d>
          </c:spPr>
          <c:invertIfNegative val="0"/>
          <c:cat>
            <c:strRef>
              <c:f>'Agric trade by products'!$AH$5:$AP$5</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'Agric trade by products'!$AH$8:$AP$8</c:f>
              <c:numCache>
                <c:formatCode>#,##0</c:formatCode>
                <c:ptCount val="9"/>
                <c:pt idx="0">
                  <c:v>765431449</c:v>
                </c:pt>
                <c:pt idx="1">
                  <c:v>716961806</c:v>
                </c:pt>
                <c:pt idx="2">
                  <c:v>413080033</c:v>
                </c:pt>
                <c:pt idx="3">
                  <c:v>1239130750</c:v>
                </c:pt>
                <c:pt idx="4">
                  <c:v>1066115945</c:v>
                </c:pt>
                <c:pt idx="5">
                  <c:v>858551362</c:v>
                </c:pt>
                <c:pt idx="6">
                  <c:v>435557405</c:v>
                </c:pt>
                <c:pt idx="7">
                  <c:v>1441519932</c:v>
                </c:pt>
                <c:pt idx="8">
                  <c:v>1242328043</c:v>
                </c:pt>
              </c:numCache>
            </c:numRef>
          </c:val>
        </c:ser>
        <c:ser>
          <c:idx val="3"/>
          <c:order val="3"/>
          <c:tx>
            <c:strRef>
              <c:f>'Agric trade by products'!$AF$9:$AG$9</c:f>
              <c:strCache>
                <c:ptCount val="1"/>
                <c:pt idx="0">
                  <c:v>100590 Corn (Maize), Other Than Seed Corn</c:v>
                </c:pt>
              </c:strCache>
            </c:strRef>
          </c:tx>
          <c:spPr>
            <a:solidFill>
              <a:srgbClr val="B46E12"/>
            </a:solidFill>
            <a:scene3d>
              <a:camera prst="orthographicFront"/>
              <a:lightRig rig="threePt" dir="t"/>
            </a:scene3d>
            <a:sp3d>
              <a:bevelT/>
            </a:sp3d>
          </c:spPr>
          <c:invertIfNegative val="0"/>
          <c:cat>
            <c:strRef>
              <c:f>'Agric trade by products'!$AH$5:$AP$5</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'Agric trade by products'!$AH$9:$AP$9</c:f>
              <c:numCache>
                <c:formatCode>#,##0</c:formatCode>
                <c:ptCount val="9"/>
                <c:pt idx="0">
                  <c:v>463946796</c:v>
                </c:pt>
                <c:pt idx="1">
                  <c:v>509260128</c:v>
                </c:pt>
                <c:pt idx="2">
                  <c:v>533285277</c:v>
                </c:pt>
                <c:pt idx="3">
                  <c:v>641832245</c:v>
                </c:pt>
                <c:pt idx="4">
                  <c:v>950493705</c:v>
                </c:pt>
                <c:pt idx="5">
                  <c:v>1027860928</c:v>
                </c:pt>
                <c:pt idx="6">
                  <c:v>1149788042</c:v>
                </c:pt>
                <c:pt idx="7">
                  <c:v>1326246619</c:v>
                </c:pt>
                <c:pt idx="8">
                  <c:v>1232026313</c:v>
                </c:pt>
              </c:numCache>
            </c:numRef>
          </c:val>
        </c:ser>
        <c:ser>
          <c:idx val="4"/>
          <c:order val="4"/>
          <c:tx>
            <c:strRef>
              <c:f>'Agric trade by products'!$AF$10:$AG$10</c:f>
              <c:strCache>
                <c:ptCount val="1"/>
                <c:pt idx="0">
                  <c:v>080830 Pears, Fresh</c:v>
                </c:pt>
              </c:strCache>
            </c:strRef>
          </c:tx>
          <c:spPr>
            <a:solidFill>
              <a:srgbClr val="F9671C"/>
            </a:solidFill>
            <a:scene3d>
              <a:camera prst="orthographicFront"/>
              <a:lightRig rig="threePt" dir="t"/>
            </a:scene3d>
            <a:sp3d>
              <a:bevelT/>
            </a:sp3d>
          </c:spPr>
          <c:invertIfNegative val="0"/>
          <c:cat>
            <c:strRef>
              <c:f>'Agric trade by products'!$AH$5:$AP$5</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'Agric trade by products'!$AH$10:$AP$10</c:f>
              <c:numCache>
                <c:formatCode>#,##0</c:formatCode>
                <c:ptCount val="9"/>
                <c:pt idx="0">
                  <c:v>898336813</c:v>
                </c:pt>
                <c:pt idx="1">
                  <c:v>919343791</c:v>
                </c:pt>
                <c:pt idx="2">
                  <c:v>192841227</c:v>
                </c:pt>
                <c:pt idx="3">
                  <c:v>51639979</c:v>
                </c:pt>
                <c:pt idx="4">
                  <c:v>1224858607</c:v>
                </c:pt>
                <c:pt idx="5">
                  <c:v>1189093831</c:v>
                </c:pt>
                <c:pt idx="6">
                  <c:v>309450864</c:v>
                </c:pt>
                <c:pt idx="7">
                  <c:v>68936657</c:v>
                </c:pt>
                <c:pt idx="8">
                  <c:v>1088977755</c:v>
                </c:pt>
              </c:numCache>
            </c:numRef>
          </c:val>
        </c:ser>
        <c:dLbls>
          <c:showLegendKey val="0"/>
          <c:showVal val="0"/>
          <c:showCatName val="0"/>
          <c:showSerName val="0"/>
          <c:showPercent val="0"/>
          <c:showBubbleSize val="0"/>
        </c:dLbls>
        <c:gapWidth val="150"/>
        <c:axId val="592263040"/>
        <c:axId val="592264576"/>
      </c:barChart>
      <c:catAx>
        <c:axId val="592263040"/>
        <c:scaling>
          <c:orientation val="minMax"/>
        </c:scaling>
        <c:delete val="0"/>
        <c:axPos val="b"/>
        <c:numFmt formatCode="General" sourceLinked="0"/>
        <c:majorTickMark val="out"/>
        <c:minorTickMark val="none"/>
        <c:tickLblPos val="nextTo"/>
        <c:crossAx val="592264576"/>
        <c:crosses val="autoZero"/>
        <c:auto val="1"/>
        <c:lblAlgn val="ctr"/>
        <c:lblOffset val="100"/>
        <c:noMultiLvlLbl val="0"/>
      </c:catAx>
      <c:valAx>
        <c:axId val="592264576"/>
        <c:scaling>
          <c:orientation val="minMax"/>
        </c:scaling>
        <c:delete val="0"/>
        <c:axPos val="l"/>
        <c:majorGridlines/>
        <c:numFmt formatCode="#,##0" sourceLinked="1"/>
        <c:majorTickMark val="out"/>
        <c:minorTickMark val="none"/>
        <c:tickLblPos val="nextTo"/>
        <c:crossAx val="592263040"/>
        <c:crosses val="autoZero"/>
        <c:crossBetween val="between"/>
        <c:dispUnits>
          <c:builtInUnit val="millions"/>
          <c:dispUnitsLbl>
            <c:layout>
              <c:manualLayout>
                <c:xMode val="edge"/>
                <c:yMode val="edge"/>
                <c:x val="1.6847172081829127E-2"/>
                <c:y val="0.11448473546069916"/>
              </c:manualLayout>
            </c:layout>
            <c:tx>
              <c:rich>
                <a:bodyPr/>
                <a:lstStyle/>
                <a:p>
                  <a:pPr>
                    <a:defRPr b="0"/>
                  </a:pPr>
                  <a:r>
                    <a:rPr lang="en-ZA" b="0"/>
                    <a:t>R million</a:t>
                  </a:r>
                </a:p>
              </c:rich>
            </c:tx>
          </c:dispUnitsLbl>
        </c:dispUnits>
      </c:valAx>
    </c:plotArea>
    <c:legend>
      <c:legendPos val="b"/>
      <c:overlay val="0"/>
    </c:legend>
    <c:plotVisOnly val="1"/>
    <c:dispBlanksAs val="gap"/>
    <c:showDLblsOverMax val="0"/>
  </c:chart>
  <c:spPr>
    <a:solidFill>
      <a:srgbClr val="9BBB59">
        <a:lumMod val="20000"/>
        <a:lumOff val="80000"/>
      </a:srgbClr>
    </a:solidFill>
  </c:spPr>
  <c:txPr>
    <a:bodyPr/>
    <a:lstStyle/>
    <a:p>
      <a:pPr>
        <a:defRPr>
          <a:latin typeface="Arial" pitchFamily="34" charset="0"/>
          <a:cs typeface="Arial" pitchFamily="34" charset="0"/>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'Agric Exp &amp; Imports'!$Y$28</c:f>
              <c:strCache>
                <c:ptCount val="1"/>
                <c:pt idx="0">
                  <c:v>United States</c:v>
                </c:pt>
              </c:strCache>
            </c:strRef>
          </c:tx>
          <c:spPr>
            <a:ln>
              <a:solidFill>
                <a:srgbClr val="D8A851"/>
              </a:solidFill>
            </a:ln>
          </c:spPr>
          <c:marker>
            <c:spPr>
              <a:solidFill>
                <a:srgbClr val="D8A851"/>
              </a:solidFill>
              <a:ln>
                <a:solidFill>
                  <a:srgbClr val="D8A851"/>
                </a:solidFill>
              </a:ln>
            </c:spPr>
          </c:marker>
          <c:cat>
            <c:strRef>
              <c:f>'Agric Exp &amp; Imports'!$Z$27:$AH$27</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'Agric Exp &amp; Imports'!$Z$28:$AH$28</c:f>
              <c:numCache>
                <c:formatCode>#,##0</c:formatCode>
                <c:ptCount val="9"/>
                <c:pt idx="0">
                  <c:v>575426834</c:v>
                </c:pt>
                <c:pt idx="1">
                  <c:v>666486286</c:v>
                </c:pt>
                <c:pt idx="2">
                  <c:v>710189521</c:v>
                </c:pt>
                <c:pt idx="3">
                  <c:v>645173118</c:v>
                </c:pt>
                <c:pt idx="4">
                  <c:v>824105492</c:v>
                </c:pt>
                <c:pt idx="5">
                  <c:v>1519897580</c:v>
                </c:pt>
                <c:pt idx="6">
                  <c:v>932458598</c:v>
                </c:pt>
                <c:pt idx="7">
                  <c:v>850103419</c:v>
                </c:pt>
                <c:pt idx="8">
                  <c:v>1567374748</c:v>
                </c:pt>
              </c:numCache>
            </c:numRef>
          </c:val>
          <c:smooth val="0"/>
        </c:ser>
        <c:ser>
          <c:idx val="1"/>
          <c:order val="1"/>
          <c:tx>
            <c:strRef>
              <c:f>'Agric Exp &amp; Imports'!$Y$29</c:f>
              <c:strCache>
                <c:ptCount val="1"/>
                <c:pt idx="0">
                  <c:v>Brazil</c:v>
                </c:pt>
              </c:strCache>
            </c:strRef>
          </c:tx>
          <c:spPr>
            <a:ln>
              <a:solidFill>
                <a:srgbClr val="005D28"/>
              </a:solidFill>
            </a:ln>
          </c:spPr>
          <c:marker>
            <c:spPr>
              <a:solidFill>
                <a:srgbClr val="005D28"/>
              </a:solidFill>
              <a:ln>
                <a:solidFill>
                  <a:srgbClr val="005D28"/>
                </a:solidFill>
              </a:ln>
            </c:spPr>
          </c:marker>
          <c:cat>
            <c:strRef>
              <c:f>'Agric Exp &amp; Imports'!$Z$27:$AH$27</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'Agric Exp &amp; Imports'!$Z$29:$AH$29</c:f>
              <c:numCache>
                <c:formatCode>#,##0</c:formatCode>
                <c:ptCount val="9"/>
                <c:pt idx="0">
                  <c:v>975663781</c:v>
                </c:pt>
                <c:pt idx="1">
                  <c:v>856225873</c:v>
                </c:pt>
                <c:pt idx="2">
                  <c:v>1384505594</c:v>
                </c:pt>
                <c:pt idx="3">
                  <c:v>1425000713</c:v>
                </c:pt>
                <c:pt idx="4">
                  <c:v>1286696551</c:v>
                </c:pt>
                <c:pt idx="5">
                  <c:v>941219394</c:v>
                </c:pt>
                <c:pt idx="6">
                  <c:v>1163149701</c:v>
                </c:pt>
                <c:pt idx="7">
                  <c:v>1387279800</c:v>
                </c:pt>
                <c:pt idx="8">
                  <c:v>1559089225</c:v>
                </c:pt>
              </c:numCache>
            </c:numRef>
          </c:val>
          <c:smooth val="0"/>
        </c:ser>
        <c:ser>
          <c:idx val="2"/>
          <c:order val="2"/>
          <c:tx>
            <c:strRef>
              <c:f>'Agric Exp &amp; Imports'!$Y$30</c:f>
              <c:strCache>
                <c:ptCount val="1"/>
                <c:pt idx="0">
                  <c:v>Argentina</c:v>
                </c:pt>
              </c:strCache>
            </c:strRef>
          </c:tx>
          <c:cat>
            <c:strRef>
              <c:f>'Agric Exp &amp; Imports'!$Z$27:$AH$27</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'Agric Exp &amp; Imports'!$Z$30:$AH$30</c:f>
              <c:numCache>
                <c:formatCode>#,##0</c:formatCode>
                <c:ptCount val="9"/>
                <c:pt idx="0">
                  <c:v>1355272279</c:v>
                </c:pt>
                <c:pt idx="1">
                  <c:v>1312337473</c:v>
                </c:pt>
                <c:pt idx="2">
                  <c:v>1615096872</c:v>
                </c:pt>
                <c:pt idx="3">
                  <c:v>1683374507</c:v>
                </c:pt>
                <c:pt idx="4">
                  <c:v>3131302054</c:v>
                </c:pt>
                <c:pt idx="5">
                  <c:v>2420626954</c:v>
                </c:pt>
                <c:pt idx="6">
                  <c:v>2486517193</c:v>
                </c:pt>
                <c:pt idx="7">
                  <c:v>2477760246</c:v>
                </c:pt>
                <c:pt idx="8">
                  <c:v>1443314494</c:v>
                </c:pt>
              </c:numCache>
            </c:numRef>
          </c:val>
          <c:smooth val="0"/>
        </c:ser>
        <c:dLbls>
          <c:showLegendKey val="0"/>
          <c:showVal val="0"/>
          <c:showCatName val="0"/>
          <c:showSerName val="0"/>
          <c:showPercent val="0"/>
          <c:showBubbleSize val="0"/>
        </c:dLbls>
        <c:marker val="1"/>
        <c:smooth val="0"/>
        <c:axId val="593572992"/>
        <c:axId val="593574528"/>
      </c:lineChart>
      <c:catAx>
        <c:axId val="593572992"/>
        <c:scaling>
          <c:orientation val="minMax"/>
        </c:scaling>
        <c:delete val="0"/>
        <c:axPos val="b"/>
        <c:numFmt formatCode="General" sourceLinked="0"/>
        <c:majorTickMark val="out"/>
        <c:minorTickMark val="none"/>
        <c:tickLblPos val="nextTo"/>
        <c:crossAx val="593574528"/>
        <c:crosses val="autoZero"/>
        <c:auto val="1"/>
        <c:lblAlgn val="ctr"/>
        <c:lblOffset val="100"/>
        <c:noMultiLvlLbl val="0"/>
      </c:catAx>
      <c:valAx>
        <c:axId val="593574528"/>
        <c:scaling>
          <c:orientation val="minMax"/>
        </c:scaling>
        <c:delete val="0"/>
        <c:axPos val="l"/>
        <c:majorGridlines/>
        <c:numFmt formatCode="#,##0" sourceLinked="1"/>
        <c:majorTickMark val="out"/>
        <c:minorTickMark val="none"/>
        <c:tickLblPos val="nextTo"/>
        <c:crossAx val="593572992"/>
        <c:crosses val="autoZero"/>
        <c:crossBetween val="between"/>
        <c:dispUnits>
          <c:builtInUnit val="millions"/>
          <c:dispUnitsLbl>
            <c:layout>
              <c:manualLayout>
                <c:xMode val="edge"/>
                <c:yMode val="edge"/>
                <c:x val="2.7777777777777853E-2"/>
                <c:y val="0.25"/>
              </c:manualLayout>
            </c:layout>
            <c:tx>
              <c:rich>
                <a:bodyPr/>
                <a:lstStyle/>
                <a:p>
                  <a:pPr>
                    <a:defRPr b="0"/>
                  </a:pPr>
                  <a:r>
                    <a:rPr lang="en-ZA" b="0"/>
                    <a:t>R million</a:t>
                  </a:r>
                </a:p>
              </c:rich>
            </c:tx>
          </c:dispUnitsLbl>
        </c:dispUnits>
      </c:valAx>
    </c:plotArea>
    <c:legend>
      <c:legendPos val="b"/>
      <c:overlay val="0"/>
    </c:legend>
    <c:plotVisOnly val="1"/>
    <c:dispBlanksAs val="gap"/>
    <c:showDLblsOverMax val="0"/>
  </c:chart>
  <c:spPr>
    <a:solidFill>
      <a:schemeClr val="accent3">
        <a:lumMod val="20000"/>
        <a:lumOff val="80000"/>
      </a:schemeClr>
    </a:solidFill>
  </c:spPr>
  <c:txPr>
    <a:bodyPr/>
    <a:lstStyle/>
    <a:p>
      <a:pPr>
        <a:defRPr>
          <a:latin typeface="Arial" pitchFamily="34" charset="0"/>
          <a:cs typeface="Arial" pitchFamily="34" charset="0"/>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'Agric trade by products'!$AF$14:$AG$14</c:f>
              <c:strCache>
                <c:ptCount val="1"/>
                <c:pt idx="0">
                  <c:v>170199 Cane/Beet Sug Chem Pure Sucrose Refind Nesoi</c:v>
                </c:pt>
              </c:strCache>
            </c:strRef>
          </c:tx>
          <c:spPr>
            <a:solidFill>
              <a:srgbClr val="005D28"/>
            </a:solidFill>
            <a:scene3d>
              <a:camera prst="orthographicFront"/>
              <a:lightRig rig="threePt" dir="t"/>
            </a:scene3d>
            <a:sp3d>
              <a:bevelT/>
            </a:sp3d>
          </c:spPr>
          <c:invertIfNegative val="0"/>
          <c:cat>
            <c:strRef>
              <c:f>'Agric trade by products'!$AH$13:$AP$13</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'Agric trade by products'!$AH$14:$AP$14</c:f>
              <c:numCache>
                <c:formatCode>#,##0</c:formatCode>
                <c:ptCount val="9"/>
                <c:pt idx="0">
                  <c:v>437563714</c:v>
                </c:pt>
                <c:pt idx="1">
                  <c:v>143702290</c:v>
                </c:pt>
                <c:pt idx="2">
                  <c:v>163012765</c:v>
                </c:pt>
                <c:pt idx="3">
                  <c:v>139542049</c:v>
                </c:pt>
                <c:pt idx="4">
                  <c:v>106051873</c:v>
                </c:pt>
                <c:pt idx="5">
                  <c:v>71455897</c:v>
                </c:pt>
                <c:pt idx="6">
                  <c:v>190006666</c:v>
                </c:pt>
                <c:pt idx="7">
                  <c:v>1048789901</c:v>
                </c:pt>
                <c:pt idx="8">
                  <c:v>1410756147</c:v>
                </c:pt>
              </c:numCache>
            </c:numRef>
          </c:val>
        </c:ser>
        <c:ser>
          <c:idx val="1"/>
          <c:order val="1"/>
          <c:tx>
            <c:strRef>
              <c:f>'Agric trade by products'!$AF$15:$AG$15</c:f>
              <c:strCache>
                <c:ptCount val="1"/>
                <c:pt idx="0">
                  <c:v>100630 Rice, Semi- Or Wholly Milled, Polished Etc Or Not</c:v>
                </c:pt>
              </c:strCache>
            </c:strRef>
          </c:tx>
          <c:spPr>
            <a:scene3d>
              <a:camera prst="orthographicFront"/>
              <a:lightRig rig="threePt" dir="t"/>
            </a:scene3d>
            <a:sp3d>
              <a:bevelT/>
            </a:sp3d>
          </c:spPr>
          <c:invertIfNegative val="0"/>
          <c:cat>
            <c:strRef>
              <c:f>'Agric trade by products'!$AH$13:$AP$13</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'Agric trade by products'!$AH$15:$AP$15</c:f>
              <c:numCache>
                <c:formatCode>#,##0</c:formatCode>
                <c:ptCount val="9"/>
                <c:pt idx="0">
                  <c:v>1132400627</c:v>
                </c:pt>
                <c:pt idx="1">
                  <c:v>1168610593</c:v>
                </c:pt>
                <c:pt idx="2">
                  <c:v>1455117239</c:v>
                </c:pt>
                <c:pt idx="3">
                  <c:v>1603938698</c:v>
                </c:pt>
                <c:pt idx="4">
                  <c:v>1157065660</c:v>
                </c:pt>
                <c:pt idx="5">
                  <c:v>1298081363</c:v>
                </c:pt>
                <c:pt idx="6">
                  <c:v>2110063043</c:v>
                </c:pt>
                <c:pt idx="7">
                  <c:v>1392232166</c:v>
                </c:pt>
                <c:pt idx="8">
                  <c:v>1400304257</c:v>
                </c:pt>
              </c:numCache>
            </c:numRef>
          </c:val>
        </c:ser>
        <c:ser>
          <c:idx val="2"/>
          <c:order val="2"/>
          <c:tx>
            <c:strRef>
              <c:f>'Agric trade by products'!$AF$16:$AG$16</c:f>
              <c:strCache>
                <c:ptCount val="1"/>
                <c:pt idx="0">
                  <c:v>100590 Corn (Maize), Other Than Seed Corn</c:v>
                </c:pt>
              </c:strCache>
            </c:strRef>
          </c:tx>
          <c:spPr>
            <a:scene3d>
              <a:camera prst="orthographicFront"/>
              <a:lightRig rig="threePt" dir="t"/>
            </a:scene3d>
            <a:sp3d>
              <a:bevelT/>
            </a:sp3d>
          </c:spPr>
          <c:invertIfNegative val="0"/>
          <c:cat>
            <c:strRef>
              <c:f>'Agric trade by products'!$AH$13:$AP$13</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'Agric trade by products'!$AH$16:$AP$16</c:f>
              <c:numCache>
                <c:formatCode>#,##0</c:formatCode>
                <c:ptCount val="9"/>
                <c:pt idx="0">
                  <c:v>144354542</c:v>
                </c:pt>
                <c:pt idx="1">
                  <c:v>213020575</c:v>
                </c:pt>
                <c:pt idx="2">
                  <c:v>785670733</c:v>
                </c:pt>
                <c:pt idx="3">
                  <c:v>607268637</c:v>
                </c:pt>
                <c:pt idx="4">
                  <c:v>2517939226</c:v>
                </c:pt>
                <c:pt idx="5">
                  <c:v>1432750384</c:v>
                </c:pt>
                <c:pt idx="6">
                  <c:v>2881022630</c:v>
                </c:pt>
                <c:pt idx="7">
                  <c:v>1531449160</c:v>
                </c:pt>
                <c:pt idx="8">
                  <c:v>1292997740</c:v>
                </c:pt>
              </c:numCache>
            </c:numRef>
          </c:val>
        </c:ser>
        <c:ser>
          <c:idx val="3"/>
          <c:order val="3"/>
          <c:tx>
            <c:strRef>
              <c:f>'Agric trade by products'!$AF$17:$AG$17</c:f>
              <c:strCache>
                <c:ptCount val="1"/>
                <c:pt idx="0">
                  <c:v>151190 Palm Oil, Refined But Not Chemically Modified</c:v>
                </c:pt>
              </c:strCache>
            </c:strRef>
          </c:tx>
          <c:spPr>
            <a:solidFill>
              <a:srgbClr val="F9671C"/>
            </a:solidFill>
            <a:scene3d>
              <a:camera prst="orthographicFront"/>
              <a:lightRig rig="threePt" dir="t"/>
            </a:scene3d>
            <a:sp3d>
              <a:bevelT/>
            </a:sp3d>
          </c:spPr>
          <c:invertIfNegative val="0"/>
          <c:cat>
            <c:strRef>
              <c:f>'Agric trade by products'!$AH$13:$AP$13</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'Agric trade by products'!$AH$17:$AP$17</c:f>
              <c:numCache>
                <c:formatCode>#,##0</c:formatCode>
                <c:ptCount val="9"/>
                <c:pt idx="0">
                  <c:v>607388145</c:v>
                </c:pt>
                <c:pt idx="1">
                  <c:v>868332377</c:v>
                </c:pt>
                <c:pt idx="2">
                  <c:v>815027961</c:v>
                </c:pt>
                <c:pt idx="3">
                  <c:v>890250594</c:v>
                </c:pt>
                <c:pt idx="4">
                  <c:v>957605563</c:v>
                </c:pt>
                <c:pt idx="5">
                  <c:v>1010156699</c:v>
                </c:pt>
                <c:pt idx="6">
                  <c:v>1048062782</c:v>
                </c:pt>
                <c:pt idx="7">
                  <c:v>1200198004</c:v>
                </c:pt>
                <c:pt idx="8">
                  <c:v>1276660188</c:v>
                </c:pt>
              </c:numCache>
            </c:numRef>
          </c:val>
        </c:ser>
        <c:ser>
          <c:idx val="4"/>
          <c:order val="4"/>
          <c:tx>
            <c:strRef>
              <c:f>'Agric trade by products'!$AF$18:$AG$18</c:f>
              <c:strCache>
                <c:ptCount val="1"/>
                <c:pt idx="0">
                  <c:v>100199 Wheat And Meslin, Nesoi</c:v>
                </c:pt>
              </c:strCache>
            </c:strRef>
          </c:tx>
          <c:spPr>
            <a:solidFill>
              <a:srgbClr val="D8A851"/>
            </a:solidFill>
            <a:scene3d>
              <a:camera prst="orthographicFront"/>
              <a:lightRig rig="threePt" dir="t"/>
            </a:scene3d>
            <a:sp3d>
              <a:bevelT/>
            </a:sp3d>
          </c:spPr>
          <c:invertIfNegative val="0"/>
          <c:cat>
            <c:strRef>
              <c:f>'Agric trade by products'!$AH$13:$AP$13</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'Agric trade by products'!$AH$18:$AP$18</c:f>
              <c:numCache>
                <c:formatCode>#,##0</c:formatCode>
                <c:ptCount val="9"/>
                <c:pt idx="0">
                  <c:v>1865790961</c:v>
                </c:pt>
                <c:pt idx="1">
                  <c:v>948831079</c:v>
                </c:pt>
                <c:pt idx="2">
                  <c:v>2060207236</c:v>
                </c:pt>
                <c:pt idx="3">
                  <c:v>1217379108</c:v>
                </c:pt>
                <c:pt idx="4">
                  <c:v>1606957991</c:v>
                </c:pt>
                <c:pt idx="5">
                  <c:v>1545993959</c:v>
                </c:pt>
                <c:pt idx="6">
                  <c:v>1125585598</c:v>
                </c:pt>
                <c:pt idx="7">
                  <c:v>288473851</c:v>
                </c:pt>
                <c:pt idx="8">
                  <c:v>1057354430</c:v>
                </c:pt>
              </c:numCache>
            </c:numRef>
          </c:val>
        </c:ser>
        <c:dLbls>
          <c:showLegendKey val="0"/>
          <c:showVal val="0"/>
          <c:showCatName val="0"/>
          <c:showSerName val="0"/>
          <c:showPercent val="0"/>
          <c:showBubbleSize val="0"/>
        </c:dLbls>
        <c:gapWidth val="150"/>
        <c:axId val="594278272"/>
        <c:axId val="594279808"/>
      </c:barChart>
      <c:catAx>
        <c:axId val="594278272"/>
        <c:scaling>
          <c:orientation val="minMax"/>
        </c:scaling>
        <c:delete val="0"/>
        <c:axPos val="b"/>
        <c:numFmt formatCode="General" sourceLinked="0"/>
        <c:majorTickMark val="out"/>
        <c:minorTickMark val="none"/>
        <c:tickLblPos val="nextTo"/>
        <c:crossAx val="594279808"/>
        <c:crosses val="autoZero"/>
        <c:auto val="1"/>
        <c:lblAlgn val="ctr"/>
        <c:lblOffset val="100"/>
        <c:noMultiLvlLbl val="0"/>
      </c:catAx>
      <c:valAx>
        <c:axId val="594279808"/>
        <c:scaling>
          <c:orientation val="minMax"/>
        </c:scaling>
        <c:delete val="0"/>
        <c:axPos val="l"/>
        <c:majorGridlines/>
        <c:numFmt formatCode="#,##0" sourceLinked="1"/>
        <c:majorTickMark val="out"/>
        <c:minorTickMark val="none"/>
        <c:tickLblPos val="nextTo"/>
        <c:crossAx val="594278272"/>
        <c:crosses val="autoZero"/>
        <c:crossBetween val="between"/>
        <c:dispUnits>
          <c:builtInUnit val="millions"/>
          <c:dispUnitsLbl>
            <c:layout>
              <c:manualLayout>
                <c:xMode val="edge"/>
                <c:yMode val="edge"/>
                <c:x val="1.8043744531933508E-2"/>
                <c:y val="0.13219488188976394"/>
              </c:manualLayout>
            </c:layout>
            <c:tx>
              <c:rich>
                <a:bodyPr/>
                <a:lstStyle/>
                <a:p>
                  <a:pPr>
                    <a:defRPr/>
                  </a:pPr>
                  <a:r>
                    <a:rPr lang="en-ZA"/>
                    <a:t>R million</a:t>
                  </a:r>
                </a:p>
              </c:rich>
            </c:tx>
          </c:dispUnitsLbl>
        </c:dispUnits>
      </c:valAx>
    </c:plotArea>
    <c:legend>
      <c:legendPos val="b"/>
      <c:overlay val="0"/>
    </c:legend>
    <c:plotVisOnly val="1"/>
    <c:dispBlanksAs val="gap"/>
    <c:showDLblsOverMax val="0"/>
  </c:chart>
  <c:spPr>
    <a:solidFill>
      <a:schemeClr val="accent3">
        <a:lumMod val="20000"/>
        <a:lumOff val="80000"/>
      </a:schemeClr>
    </a:solidFill>
  </c:spPr>
  <c:txPr>
    <a:bodyPr/>
    <a:lstStyle/>
    <a:p>
      <a:pPr>
        <a:defRPr b="0">
          <a:latin typeface="Arial" pitchFamily="34" charset="0"/>
          <a:cs typeface="Arial"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329213248604652E-2"/>
          <c:y val="0.10697017843096022"/>
          <c:w val="0.87410892388451478"/>
          <c:h val="0.74876656522229168"/>
        </c:manualLayout>
      </c:layout>
      <c:lineChart>
        <c:grouping val="standard"/>
        <c:varyColors val="0"/>
        <c:ser>
          <c:idx val="0"/>
          <c:order val="0"/>
          <c:tx>
            <c:strRef>
              <c:f>'Domestic GDP Q1 2017'!$B$5</c:f>
              <c:strCache>
                <c:ptCount val="1"/>
                <c:pt idx="0">
                  <c:v>Q/Q</c:v>
                </c:pt>
              </c:strCache>
            </c:strRef>
          </c:tx>
          <c:marker>
            <c:symbol val="none"/>
          </c:marker>
          <c:cat>
            <c:strRef>
              <c:f>'Domestic GDP Q1 2017'!$A$11:$A$22</c:f>
              <c:strCache>
                <c:ptCount val="12"/>
                <c:pt idx="0">
                  <c:v>Q2/14</c:v>
                </c:pt>
                <c:pt idx="1">
                  <c:v>Q3/14</c:v>
                </c:pt>
                <c:pt idx="2">
                  <c:v>Q4/14</c:v>
                </c:pt>
                <c:pt idx="3">
                  <c:v>Q1/15</c:v>
                </c:pt>
                <c:pt idx="4">
                  <c:v>Q2/15</c:v>
                </c:pt>
                <c:pt idx="5">
                  <c:v>Q3/15</c:v>
                </c:pt>
                <c:pt idx="6">
                  <c:v>Q4/15</c:v>
                </c:pt>
                <c:pt idx="7">
                  <c:v>Q1/16</c:v>
                </c:pt>
                <c:pt idx="8">
                  <c:v>Q2/16</c:v>
                </c:pt>
                <c:pt idx="9">
                  <c:v>Q3/16</c:v>
                </c:pt>
                <c:pt idx="10">
                  <c:v>Q4/16</c:v>
                </c:pt>
                <c:pt idx="11">
                  <c:v>Q1/17</c:v>
                </c:pt>
              </c:strCache>
            </c:strRef>
          </c:cat>
          <c:val>
            <c:numRef>
              <c:f>'Domestic GDP Q1 2017'!$B$11:$B$22</c:f>
              <c:numCache>
                <c:formatCode>0.0</c:formatCode>
                <c:ptCount val="12"/>
                <c:pt idx="0">
                  <c:v>0.8</c:v>
                </c:pt>
                <c:pt idx="1">
                  <c:v>2.2000000000000002</c:v>
                </c:pt>
                <c:pt idx="2">
                  <c:v>4.0999999999999996</c:v>
                </c:pt>
                <c:pt idx="3">
                  <c:v>2</c:v>
                </c:pt>
                <c:pt idx="4">
                  <c:v>-2</c:v>
                </c:pt>
                <c:pt idx="5">
                  <c:v>0.3</c:v>
                </c:pt>
                <c:pt idx="6">
                  <c:v>0.4</c:v>
                </c:pt>
                <c:pt idx="7" formatCode="General">
                  <c:v>-1.5</c:v>
                </c:pt>
                <c:pt idx="8">
                  <c:v>3.1</c:v>
                </c:pt>
                <c:pt idx="9" formatCode="General">
                  <c:v>0.4</c:v>
                </c:pt>
                <c:pt idx="10" formatCode="General">
                  <c:v>-0.3</c:v>
                </c:pt>
                <c:pt idx="11" formatCode="General">
                  <c:v>-0.7</c:v>
                </c:pt>
              </c:numCache>
            </c:numRef>
          </c:val>
          <c:smooth val="0"/>
        </c:ser>
        <c:ser>
          <c:idx val="1"/>
          <c:order val="1"/>
          <c:tx>
            <c:strRef>
              <c:f>'Domestic GDP Q1 2017'!$C$5</c:f>
              <c:strCache>
                <c:ptCount val="1"/>
                <c:pt idx="0">
                  <c:v>Y/Y</c:v>
                </c:pt>
              </c:strCache>
            </c:strRef>
          </c:tx>
          <c:spPr>
            <a:ln>
              <a:solidFill>
                <a:srgbClr val="D8A851"/>
              </a:solidFill>
              <a:prstDash val="sysDash"/>
            </a:ln>
          </c:spPr>
          <c:marker>
            <c:symbol val="none"/>
          </c:marker>
          <c:cat>
            <c:strRef>
              <c:f>'Domestic GDP Q1 2017'!$A$11:$A$22</c:f>
              <c:strCache>
                <c:ptCount val="12"/>
                <c:pt idx="0">
                  <c:v>Q2/14</c:v>
                </c:pt>
                <c:pt idx="1">
                  <c:v>Q3/14</c:v>
                </c:pt>
                <c:pt idx="2">
                  <c:v>Q4/14</c:v>
                </c:pt>
                <c:pt idx="3">
                  <c:v>Q1/15</c:v>
                </c:pt>
                <c:pt idx="4">
                  <c:v>Q2/15</c:v>
                </c:pt>
                <c:pt idx="5">
                  <c:v>Q3/15</c:v>
                </c:pt>
                <c:pt idx="6">
                  <c:v>Q4/15</c:v>
                </c:pt>
                <c:pt idx="7">
                  <c:v>Q1/16</c:v>
                </c:pt>
                <c:pt idx="8">
                  <c:v>Q2/16</c:v>
                </c:pt>
                <c:pt idx="9">
                  <c:v>Q3/16</c:v>
                </c:pt>
                <c:pt idx="10">
                  <c:v>Q4/16</c:v>
                </c:pt>
                <c:pt idx="11">
                  <c:v>Q1/17</c:v>
                </c:pt>
              </c:strCache>
            </c:strRef>
          </c:cat>
          <c:val>
            <c:numRef>
              <c:f>'Domestic GDP Q1 2017'!$C$11:$C$22</c:f>
              <c:numCache>
                <c:formatCode>0.0</c:formatCode>
                <c:ptCount val="12"/>
                <c:pt idx="0">
                  <c:v>1.5</c:v>
                </c:pt>
                <c:pt idx="1">
                  <c:v>1.7</c:v>
                </c:pt>
                <c:pt idx="2">
                  <c:v>1.5</c:v>
                </c:pt>
                <c:pt idx="3">
                  <c:v>2.5</c:v>
                </c:pt>
                <c:pt idx="4">
                  <c:v>1.2</c:v>
                </c:pt>
                <c:pt idx="5">
                  <c:v>0.8</c:v>
                </c:pt>
                <c:pt idx="6" formatCode="General">
                  <c:v>0.5</c:v>
                </c:pt>
                <c:pt idx="7" formatCode="General">
                  <c:v>-0.6</c:v>
                </c:pt>
                <c:pt idx="8">
                  <c:v>0.3</c:v>
                </c:pt>
                <c:pt idx="9" formatCode="General">
                  <c:v>0.7</c:v>
                </c:pt>
                <c:pt idx="10" formatCode="General">
                  <c:v>0.7</c:v>
                </c:pt>
                <c:pt idx="11" formatCode="General">
                  <c:v>1</c:v>
                </c:pt>
              </c:numCache>
            </c:numRef>
          </c:val>
          <c:smooth val="0"/>
        </c:ser>
        <c:dLbls>
          <c:showLegendKey val="0"/>
          <c:showVal val="0"/>
          <c:showCatName val="0"/>
          <c:showSerName val="0"/>
          <c:showPercent val="0"/>
          <c:showBubbleSize val="0"/>
        </c:dLbls>
        <c:marker val="1"/>
        <c:smooth val="0"/>
        <c:axId val="551486208"/>
        <c:axId val="551487744"/>
      </c:lineChart>
      <c:catAx>
        <c:axId val="551486208"/>
        <c:scaling>
          <c:orientation val="minMax"/>
        </c:scaling>
        <c:delete val="0"/>
        <c:axPos val="b"/>
        <c:majorTickMark val="out"/>
        <c:minorTickMark val="none"/>
        <c:tickLblPos val="nextTo"/>
        <c:txPr>
          <a:bodyPr/>
          <a:lstStyle/>
          <a:p>
            <a:pPr>
              <a:defRPr sz="900">
                <a:latin typeface="Arial" pitchFamily="34" charset="0"/>
                <a:cs typeface="Arial" pitchFamily="34" charset="0"/>
              </a:defRPr>
            </a:pPr>
            <a:endParaRPr lang="en-US"/>
          </a:p>
        </c:txPr>
        <c:crossAx val="551487744"/>
        <c:crosses val="autoZero"/>
        <c:auto val="1"/>
        <c:lblAlgn val="ctr"/>
        <c:lblOffset val="100"/>
        <c:noMultiLvlLbl val="0"/>
      </c:catAx>
      <c:valAx>
        <c:axId val="551487744"/>
        <c:scaling>
          <c:orientation val="minMax"/>
        </c:scaling>
        <c:delete val="0"/>
        <c:axPos val="l"/>
        <c:majorGridlines/>
        <c:title>
          <c:tx>
            <c:rich>
              <a:bodyPr rot="-5400000" vert="horz"/>
              <a:lstStyle/>
              <a:p>
                <a:pPr>
                  <a:defRPr sz="900">
                    <a:latin typeface="Arial" pitchFamily="34" charset="0"/>
                    <a:cs typeface="Arial" pitchFamily="34" charset="0"/>
                  </a:defRPr>
                </a:pPr>
                <a:r>
                  <a:rPr lang="en-US" sz="900">
                    <a:latin typeface="Arial" pitchFamily="34" charset="0"/>
                    <a:cs typeface="Arial" pitchFamily="34" charset="0"/>
                  </a:rPr>
                  <a:t>Percentage</a:t>
                </a:r>
              </a:p>
            </c:rich>
          </c:tx>
          <c:overlay val="0"/>
        </c:title>
        <c:numFmt formatCode="0.0" sourceLinked="1"/>
        <c:majorTickMark val="out"/>
        <c:minorTickMark val="none"/>
        <c:tickLblPos val="nextTo"/>
        <c:txPr>
          <a:bodyPr/>
          <a:lstStyle/>
          <a:p>
            <a:pPr>
              <a:defRPr sz="900">
                <a:latin typeface="Arial" pitchFamily="34" charset="0"/>
                <a:cs typeface="Arial" pitchFamily="34" charset="0"/>
              </a:defRPr>
            </a:pPr>
            <a:endParaRPr lang="en-US"/>
          </a:p>
        </c:txPr>
        <c:crossAx val="551486208"/>
        <c:crosses val="autoZero"/>
        <c:crossBetween val="between"/>
      </c:valAx>
    </c:plotArea>
    <c:legend>
      <c:legendPos val="r"/>
      <c:layout>
        <c:manualLayout>
          <c:xMode val="edge"/>
          <c:yMode val="edge"/>
          <c:x val="0.26716666666666683"/>
          <c:y val="0.86420282405352189"/>
          <c:w val="0.3606111111111111"/>
          <c:h val="0.11303262537286698"/>
        </c:manualLayout>
      </c:layout>
      <c:overlay val="0"/>
      <c:txPr>
        <a:bodyPr/>
        <a:lstStyle/>
        <a:p>
          <a:pPr>
            <a:defRPr sz="900">
              <a:latin typeface="Arial" pitchFamily="34" charset="0"/>
              <a:cs typeface="Arial" pitchFamily="34" charset="0"/>
            </a:defRPr>
          </a:pPr>
          <a:endParaRPr lang="en-US"/>
        </a:p>
      </c:txPr>
    </c:legend>
    <c:plotVisOnly val="1"/>
    <c:dispBlanksAs val="gap"/>
    <c:showDLblsOverMax val="0"/>
  </c:chart>
  <c:spPr>
    <a:solidFill>
      <a:schemeClr val="accent3">
        <a:lumMod val="20000"/>
        <a:lumOff val="80000"/>
      </a:schemeClr>
    </a:solidFill>
  </c:sp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2"/>
          <c:tx>
            <c:strRef>
              <c:f>'Fisheries trade'!$W$8</c:f>
              <c:strCache>
                <c:ptCount val="1"/>
                <c:pt idx="0">
                  <c:v>Trade Balance</c:v>
                </c:pt>
              </c:strCache>
            </c:strRef>
          </c:tx>
          <c:spPr>
            <a:solidFill>
              <a:srgbClr val="005D28"/>
            </a:solidFill>
            <a:scene3d>
              <a:camera prst="orthographicFront"/>
              <a:lightRig rig="threePt" dir="t"/>
            </a:scene3d>
            <a:sp3d>
              <a:bevelT/>
            </a:sp3d>
          </c:spPr>
          <c:invertIfNegative val="0"/>
          <c:cat>
            <c:strRef>
              <c:f>'Fisheries trade'!$X$5:$AF$5</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'Fisheries trade'!$X$8:$AF$8</c:f>
              <c:numCache>
                <c:formatCode>#,##0</c:formatCode>
                <c:ptCount val="9"/>
                <c:pt idx="0">
                  <c:v>161753261</c:v>
                </c:pt>
                <c:pt idx="1">
                  <c:v>319211619</c:v>
                </c:pt>
                <c:pt idx="2">
                  <c:v>295986825</c:v>
                </c:pt>
                <c:pt idx="3">
                  <c:v>158261688</c:v>
                </c:pt>
                <c:pt idx="4">
                  <c:v>574956734</c:v>
                </c:pt>
                <c:pt idx="5">
                  <c:v>418424340</c:v>
                </c:pt>
                <c:pt idx="6">
                  <c:v>517886412</c:v>
                </c:pt>
                <c:pt idx="7">
                  <c:v>647001928</c:v>
                </c:pt>
                <c:pt idx="8">
                  <c:v>-261556533</c:v>
                </c:pt>
              </c:numCache>
            </c:numRef>
          </c:val>
        </c:ser>
        <c:dLbls>
          <c:showLegendKey val="0"/>
          <c:showVal val="0"/>
          <c:showCatName val="0"/>
          <c:showSerName val="0"/>
          <c:showPercent val="0"/>
          <c:showBubbleSize val="0"/>
        </c:dLbls>
        <c:gapWidth val="150"/>
        <c:axId val="598832256"/>
        <c:axId val="598834176"/>
      </c:barChart>
      <c:lineChart>
        <c:grouping val="standard"/>
        <c:varyColors val="0"/>
        <c:ser>
          <c:idx val="0"/>
          <c:order val="0"/>
          <c:tx>
            <c:strRef>
              <c:f>'Fisheries trade'!$W$6</c:f>
              <c:strCache>
                <c:ptCount val="1"/>
                <c:pt idx="0">
                  <c:v>Exports</c:v>
                </c:pt>
              </c:strCache>
            </c:strRef>
          </c:tx>
          <c:spPr>
            <a:ln>
              <a:solidFill>
                <a:srgbClr val="D8A851"/>
              </a:solidFill>
            </a:ln>
          </c:spPr>
          <c:marker>
            <c:spPr>
              <a:solidFill>
                <a:srgbClr val="D8A851"/>
              </a:solidFill>
              <a:ln>
                <a:solidFill>
                  <a:srgbClr val="D8A851"/>
                </a:solidFill>
              </a:ln>
            </c:spPr>
          </c:marker>
          <c:cat>
            <c:strRef>
              <c:f>'Fisheries trade'!$X$5:$AF$5</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'Fisheries trade'!$X$6:$AF$6</c:f>
              <c:numCache>
                <c:formatCode>#,##0</c:formatCode>
                <c:ptCount val="9"/>
                <c:pt idx="0">
                  <c:v>1547658069</c:v>
                </c:pt>
                <c:pt idx="1">
                  <c:v>1509683870</c:v>
                </c:pt>
                <c:pt idx="2">
                  <c:v>1419748245</c:v>
                </c:pt>
                <c:pt idx="3">
                  <c:v>1587572015</c:v>
                </c:pt>
                <c:pt idx="4">
                  <c:v>2018642839</c:v>
                </c:pt>
                <c:pt idx="5">
                  <c:v>1818581605</c:v>
                </c:pt>
                <c:pt idx="6">
                  <c:v>1701735921</c:v>
                </c:pt>
                <c:pt idx="7">
                  <c:v>1892813313</c:v>
                </c:pt>
                <c:pt idx="8">
                  <c:v>1157958405</c:v>
                </c:pt>
              </c:numCache>
            </c:numRef>
          </c:val>
          <c:smooth val="0"/>
        </c:ser>
        <c:ser>
          <c:idx val="1"/>
          <c:order val="1"/>
          <c:tx>
            <c:strRef>
              <c:f>'Fisheries trade'!$W$7</c:f>
              <c:strCache>
                <c:ptCount val="1"/>
                <c:pt idx="0">
                  <c:v>Imports</c:v>
                </c:pt>
              </c:strCache>
            </c:strRef>
          </c:tx>
          <c:spPr>
            <a:ln>
              <a:solidFill>
                <a:srgbClr val="F9671C"/>
              </a:solidFill>
            </a:ln>
          </c:spPr>
          <c:marker>
            <c:spPr>
              <a:solidFill>
                <a:srgbClr val="F9671C"/>
              </a:solidFill>
              <a:ln>
                <a:solidFill>
                  <a:srgbClr val="F9671C"/>
                </a:solidFill>
              </a:ln>
            </c:spPr>
          </c:marker>
          <c:cat>
            <c:strRef>
              <c:f>'Fisheries trade'!$X$5:$AF$5</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'Fisheries trade'!$X$7:$AF$7</c:f>
              <c:numCache>
                <c:formatCode>#,##0</c:formatCode>
                <c:ptCount val="9"/>
                <c:pt idx="0">
                  <c:v>1385904808</c:v>
                </c:pt>
                <c:pt idx="1">
                  <c:v>1190472251</c:v>
                </c:pt>
                <c:pt idx="2">
                  <c:v>1123761420</c:v>
                </c:pt>
                <c:pt idx="3">
                  <c:v>1429310327</c:v>
                </c:pt>
                <c:pt idx="4">
                  <c:v>1443686105</c:v>
                </c:pt>
                <c:pt idx="5">
                  <c:v>1400157265</c:v>
                </c:pt>
                <c:pt idx="6">
                  <c:v>1183849509</c:v>
                </c:pt>
                <c:pt idx="7">
                  <c:v>1245811385</c:v>
                </c:pt>
                <c:pt idx="8">
                  <c:v>1419514938</c:v>
                </c:pt>
              </c:numCache>
            </c:numRef>
          </c:val>
          <c:smooth val="0"/>
        </c:ser>
        <c:dLbls>
          <c:showLegendKey val="0"/>
          <c:showVal val="0"/>
          <c:showCatName val="0"/>
          <c:showSerName val="0"/>
          <c:showPercent val="0"/>
          <c:showBubbleSize val="0"/>
        </c:dLbls>
        <c:marker val="1"/>
        <c:smooth val="0"/>
        <c:axId val="598832256"/>
        <c:axId val="598834176"/>
      </c:lineChart>
      <c:catAx>
        <c:axId val="598832256"/>
        <c:scaling>
          <c:orientation val="minMax"/>
        </c:scaling>
        <c:delete val="0"/>
        <c:axPos val="b"/>
        <c:numFmt formatCode="General" sourceLinked="0"/>
        <c:majorTickMark val="out"/>
        <c:minorTickMark val="none"/>
        <c:tickLblPos val="nextTo"/>
        <c:crossAx val="598834176"/>
        <c:crosses val="autoZero"/>
        <c:auto val="1"/>
        <c:lblAlgn val="ctr"/>
        <c:lblOffset val="100"/>
        <c:noMultiLvlLbl val="0"/>
      </c:catAx>
      <c:valAx>
        <c:axId val="598834176"/>
        <c:scaling>
          <c:orientation val="minMax"/>
        </c:scaling>
        <c:delete val="0"/>
        <c:axPos val="l"/>
        <c:majorGridlines/>
        <c:numFmt formatCode="#,##0" sourceLinked="1"/>
        <c:majorTickMark val="out"/>
        <c:minorTickMark val="none"/>
        <c:tickLblPos val="nextTo"/>
        <c:crossAx val="598832256"/>
        <c:crosses val="autoZero"/>
        <c:crossBetween val="between"/>
        <c:dispUnits>
          <c:builtInUnit val="millions"/>
          <c:dispUnitsLbl>
            <c:layout>
              <c:manualLayout>
                <c:xMode val="edge"/>
                <c:yMode val="edge"/>
                <c:x val="3.0555555555555582E-2"/>
                <c:y val="0.22222222222222221"/>
              </c:manualLayout>
            </c:layout>
            <c:tx>
              <c:rich>
                <a:bodyPr/>
                <a:lstStyle/>
                <a:p>
                  <a:pPr>
                    <a:defRPr b="0"/>
                  </a:pPr>
                  <a:r>
                    <a:rPr lang="en-ZA" b="0"/>
                    <a:t>R millions</a:t>
                  </a:r>
                </a:p>
              </c:rich>
            </c:tx>
          </c:dispUnitsLbl>
        </c:dispUnits>
      </c:valAx>
    </c:plotArea>
    <c:legend>
      <c:legendPos val="b"/>
      <c:overlay val="0"/>
    </c:legend>
    <c:plotVisOnly val="1"/>
    <c:dispBlanksAs val="gap"/>
    <c:showDLblsOverMax val="0"/>
  </c:chart>
  <c:spPr>
    <a:solidFill>
      <a:schemeClr val="accent3">
        <a:lumMod val="20000"/>
        <a:lumOff val="80000"/>
      </a:schemeClr>
    </a:solidFill>
  </c:spPr>
  <c:txPr>
    <a:bodyPr/>
    <a:lstStyle/>
    <a:p>
      <a:pPr>
        <a:defRPr>
          <a:latin typeface="Arial" pitchFamily="34" charset="0"/>
          <a:cs typeface="Arial" pitchFamily="34" charset="0"/>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'Fisheries trade by product'!$AD$14:$AE$14</c:f>
              <c:strCache>
                <c:ptCount val="1"/>
                <c:pt idx="0">
                  <c:v>030617 Shrimps And Prawns, Frozen, Nesoi</c:v>
                </c:pt>
              </c:strCache>
            </c:strRef>
          </c:tx>
          <c:spPr>
            <a:solidFill>
              <a:srgbClr val="005D28"/>
            </a:solidFill>
            <a:scene3d>
              <a:camera prst="orthographicFront"/>
              <a:lightRig rig="threePt" dir="t"/>
            </a:scene3d>
            <a:sp3d>
              <a:bevelT/>
            </a:sp3d>
          </c:spPr>
          <c:invertIfNegative val="0"/>
          <c:cat>
            <c:strRef>
              <c:f>'Fisheries trade by product'!$AF$13:$AN$13</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'Fisheries trade by product'!$AF$14:$AN$14</c:f>
              <c:numCache>
                <c:formatCode>General</c:formatCode>
                <c:ptCount val="9"/>
                <c:pt idx="0">
                  <c:v>109652370</c:v>
                </c:pt>
                <c:pt idx="1">
                  <c:v>109261900</c:v>
                </c:pt>
                <c:pt idx="2">
                  <c:v>98466739</c:v>
                </c:pt>
                <c:pt idx="3">
                  <c:v>168164176</c:v>
                </c:pt>
                <c:pt idx="4">
                  <c:v>169791220</c:v>
                </c:pt>
                <c:pt idx="5">
                  <c:v>150274451</c:v>
                </c:pt>
                <c:pt idx="6">
                  <c:v>134058520</c:v>
                </c:pt>
                <c:pt idx="7">
                  <c:v>202160736</c:v>
                </c:pt>
                <c:pt idx="8">
                  <c:v>208534940</c:v>
                </c:pt>
              </c:numCache>
            </c:numRef>
          </c:val>
        </c:ser>
        <c:ser>
          <c:idx val="1"/>
          <c:order val="1"/>
          <c:tx>
            <c:strRef>
              <c:f>'Fisheries trade by product'!$AD$15:$AE$15</c:f>
              <c:strCache>
                <c:ptCount val="1"/>
                <c:pt idx="0">
                  <c:v>160414 Tunas/Skipjack/Bonito Prep/Pres Not Minced</c:v>
                </c:pt>
              </c:strCache>
            </c:strRef>
          </c:tx>
          <c:spPr>
            <a:scene3d>
              <a:camera prst="orthographicFront"/>
              <a:lightRig rig="threePt" dir="t"/>
            </a:scene3d>
            <a:sp3d>
              <a:bevelT/>
            </a:sp3d>
          </c:spPr>
          <c:invertIfNegative val="0"/>
          <c:cat>
            <c:strRef>
              <c:f>'Fisheries trade by product'!$AF$13:$AN$13</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'Fisheries trade by product'!$AF$15:$AN$15</c:f>
              <c:numCache>
                <c:formatCode>General</c:formatCode>
                <c:ptCount val="9"/>
                <c:pt idx="0">
                  <c:v>118352863</c:v>
                </c:pt>
                <c:pt idx="1">
                  <c:v>169861505</c:v>
                </c:pt>
                <c:pt idx="2">
                  <c:v>115295755</c:v>
                </c:pt>
                <c:pt idx="3">
                  <c:v>67102366</c:v>
                </c:pt>
                <c:pt idx="4">
                  <c:v>93620135</c:v>
                </c:pt>
                <c:pt idx="5">
                  <c:v>39118616</c:v>
                </c:pt>
                <c:pt idx="6">
                  <c:v>104282523</c:v>
                </c:pt>
                <c:pt idx="7">
                  <c:v>110837163</c:v>
                </c:pt>
                <c:pt idx="8">
                  <c:v>174371732</c:v>
                </c:pt>
              </c:numCache>
            </c:numRef>
          </c:val>
        </c:ser>
        <c:ser>
          <c:idx val="2"/>
          <c:order val="2"/>
          <c:tx>
            <c:strRef>
              <c:f>'Fisheries trade by product'!$AD$16:$AE$16</c:f>
              <c:strCache>
                <c:ptCount val="1"/>
                <c:pt idx="0">
                  <c:v>030353 Sardines, Sardinella, Brisling Or Sprats, Frozen</c:v>
                </c:pt>
              </c:strCache>
            </c:strRef>
          </c:tx>
          <c:spPr>
            <a:scene3d>
              <a:camera prst="orthographicFront"/>
              <a:lightRig rig="threePt" dir="t"/>
            </a:scene3d>
            <a:sp3d>
              <a:bevelT/>
            </a:sp3d>
          </c:spPr>
          <c:invertIfNegative val="0"/>
          <c:cat>
            <c:strRef>
              <c:f>'Fisheries trade by product'!$AF$13:$AN$13</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'Fisheries trade by product'!$AF$16:$AN$16</c:f>
              <c:numCache>
                <c:formatCode>General</c:formatCode>
                <c:ptCount val="9"/>
                <c:pt idx="0">
                  <c:v>52083727</c:v>
                </c:pt>
                <c:pt idx="1">
                  <c:v>17856187</c:v>
                </c:pt>
                <c:pt idx="2">
                  <c:v>83368320</c:v>
                </c:pt>
                <c:pt idx="3">
                  <c:v>124718814</c:v>
                </c:pt>
                <c:pt idx="4">
                  <c:v>129945472</c:v>
                </c:pt>
                <c:pt idx="5">
                  <c:v>269997848</c:v>
                </c:pt>
                <c:pt idx="6">
                  <c:v>82203024</c:v>
                </c:pt>
                <c:pt idx="7">
                  <c:v>103967096</c:v>
                </c:pt>
                <c:pt idx="8">
                  <c:v>160811224</c:v>
                </c:pt>
              </c:numCache>
            </c:numRef>
          </c:val>
        </c:ser>
        <c:ser>
          <c:idx val="3"/>
          <c:order val="3"/>
          <c:tx>
            <c:strRef>
              <c:f>'Fisheries trade by product'!$AD$17:$AE$17</c:f>
              <c:strCache>
                <c:ptCount val="1"/>
                <c:pt idx="0">
                  <c:v>160413 Sardines/Sardinella/Brisling Prep/Pres, Not Minced</c:v>
                </c:pt>
              </c:strCache>
            </c:strRef>
          </c:tx>
          <c:spPr>
            <a:solidFill>
              <a:srgbClr val="D8A851"/>
            </a:solidFill>
            <a:scene3d>
              <a:camera prst="orthographicFront"/>
              <a:lightRig rig="threePt" dir="t"/>
            </a:scene3d>
            <a:sp3d>
              <a:bevelT/>
            </a:sp3d>
          </c:spPr>
          <c:invertIfNegative val="0"/>
          <c:cat>
            <c:strRef>
              <c:f>'Fisheries trade by product'!$AF$13:$AN$13</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'Fisheries trade by product'!$AF$17:$AN$17</c:f>
              <c:numCache>
                <c:formatCode>General</c:formatCode>
                <c:ptCount val="9"/>
                <c:pt idx="0">
                  <c:v>459581911</c:v>
                </c:pt>
                <c:pt idx="1">
                  <c:v>284271123</c:v>
                </c:pt>
                <c:pt idx="2">
                  <c:v>273976845</c:v>
                </c:pt>
                <c:pt idx="3">
                  <c:v>411477844</c:v>
                </c:pt>
                <c:pt idx="4">
                  <c:v>273896095</c:v>
                </c:pt>
                <c:pt idx="5">
                  <c:v>278649785</c:v>
                </c:pt>
                <c:pt idx="6">
                  <c:v>212173523</c:v>
                </c:pt>
                <c:pt idx="7">
                  <c:v>170768012</c:v>
                </c:pt>
                <c:pt idx="8">
                  <c:v>117450378</c:v>
                </c:pt>
              </c:numCache>
            </c:numRef>
          </c:val>
        </c:ser>
        <c:ser>
          <c:idx val="4"/>
          <c:order val="4"/>
          <c:tx>
            <c:strRef>
              <c:f>'Fisheries trade by product'!$AD$18:$AE$18</c:f>
              <c:strCache>
                <c:ptCount val="1"/>
                <c:pt idx="0">
                  <c:v>030389 Fish, Frozen, Nesoi</c:v>
                </c:pt>
              </c:strCache>
            </c:strRef>
          </c:tx>
          <c:spPr>
            <a:solidFill>
              <a:srgbClr val="F9671C"/>
            </a:solidFill>
            <a:scene3d>
              <a:camera prst="orthographicFront"/>
              <a:lightRig rig="threePt" dir="t"/>
            </a:scene3d>
            <a:sp3d>
              <a:bevelT/>
            </a:sp3d>
          </c:spPr>
          <c:invertIfNegative val="0"/>
          <c:cat>
            <c:strRef>
              <c:f>'Fisheries trade by product'!$AF$13:$AN$13</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'Fisheries trade by product'!$AF$18:$AN$18</c:f>
              <c:numCache>
                <c:formatCode>General</c:formatCode>
                <c:ptCount val="9"/>
                <c:pt idx="0">
                  <c:v>90289768</c:v>
                </c:pt>
                <c:pt idx="1">
                  <c:v>88075390</c:v>
                </c:pt>
                <c:pt idx="2">
                  <c:v>71652178</c:v>
                </c:pt>
                <c:pt idx="3">
                  <c:v>66597013</c:v>
                </c:pt>
                <c:pt idx="4">
                  <c:v>86842831</c:v>
                </c:pt>
                <c:pt idx="5">
                  <c:v>96391405</c:v>
                </c:pt>
                <c:pt idx="6">
                  <c:v>56087287</c:v>
                </c:pt>
                <c:pt idx="7">
                  <c:v>79986854</c:v>
                </c:pt>
                <c:pt idx="8">
                  <c:v>104229784</c:v>
                </c:pt>
              </c:numCache>
            </c:numRef>
          </c:val>
        </c:ser>
        <c:dLbls>
          <c:showLegendKey val="0"/>
          <c:showVal val="0"/>
          <c:showCatName val="0"/>
          <c:showSerName val="0"/>
          <c:showPercent val="0"/>
          <c:showBubbleSize val="0"/>
        </c:dLbls>
        <c:gapWidth val="150"/>
        <c:axId val="599128320"/>
        <c:axId val="599130112"/>
      </c:barChart>
      <c:catAx>
        <c:axId val="599128320"/>
        <c:scaling>
          <c:orientation val="minMax"/>
        </c:scaling>
        <c:delete val="0"/>
        <c:axPos val="b"/>
        <c:numFmt formatCode="General" sourceLinked="0"/>
        <c:majorTickMark val="out"/>
        <c:minorTickMark val="none"/>
        <c:tickLblPos val="nextTo"/>
        <c:crossAx val="599130112"/>
        <c:crosses val="autoZero"/>
        <c:auto val="1"/>
        <c:lblAlgn val="ctr"/>
        <c:lblOffset val="100"/>
        <c:noMultiLvlLbl val="0"/>
      </c:catAx>
      <c:valAx>
        <c:axId val="599130112"/>
        <c:scaling>
          <c:orientation val="minMax"/>
        </c:scaling>
        <c:delete val="0"/>
        <c:axPos val="l"/>
        <c:majorGridlines/>
        <c:numFmt formatCode="General" sourceLinked="1"/>
        <c:majorTickMark val="out"/>
        <c:minorTickMark val="none"/>
        <c:tickLblPos val="nextTo"/>
        <c:crossAx val="599128320"/>
        <c:crosses val="autoZero"/>
        <c:crossBetween val="between"/>
        <c:dispUnits>
          <c:builtInUnit val="millions"/>
          <c:dispUnitsLbl>
            <c:layout>
              <c:manualLayout>
                <c:xMode val="edge"/>
                <c:yMode val="edge"/>
                <c:x val="1.9444444444444445E-2"/>
                <c:y val="0.1115857392825898"/>
              </c:manualLayout>
            </c:layout>
            <c:tx>
              <c:rich>
                <a:bodyPr/>
                <a:lstStyle/>
                <a:p>
                  <a:pPr>
                    <a:defRPr b="0"/>
                  </a:pPr>
                  <a:r>
                    <a:rPr lang="en-ZA" b="0"/>
                    <a:t>R million</a:t>
                  </a:r>
                </a:p>
              </c:rich>
            </c:tx>
          </c:dispUnitsLbl>
        </c:dispUnits>
      </c:valAx>
    </c:plotArea>
    <c:legend>
      <c:legendPos val="b"/>
      <c:overlay val="0"/>
    </c:legend>
    <c:plotVisOnly val="1"/>
    <c:dispBlanksAs val="gap"/>
    <c:showDLblsOverMax val="0"/>
  </c:chart>
  <c:spPr>
    <a:solidFill>
      <a:schemeClr val="accent3">
        <a:lumMod val="20000"/>
        <a:lumOff val="80000"/>
      </a:schemeClr>
    </a:solidFill>
  </c:spPr>
  <c:txPr>
    <a:bodyPr/>
    <a:lstStyle/>
    <a:p>
      <a:pPr>
        <a:defRPr>
          <a:latin typeface="Arial" pitchFamily="34" charset="0"/>
          <a:cs typeface="Arial" pitchFamily="34" charset="0"/>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'Fisheries trade by product'!$AD$6:$AE$6</c:f>
              <c:strCache>
                <c:ptCount val="1"/>
                <c:pt idx="0">
                  <c:v>030474 Hake Fillets, Frozen</c:v>
                </c:pt>
              </c:strCache>
            </c:strRef>
          </c:tx>
          <c:spPr>
            <a:solidFill>
              <a:srgbClr val="005D28"/>
            </a:solidFill>
            <a:scene3d>
              <a:camera prst="orthographicFront"/>
              <a:lightRig rig="threePt" dir="t"/>
            </a:scene3d>
            <a:sp3d>
              <a:bevelT/>
            </a:sp3d>
          </c:spPr>
          <c:invertIfNegative val="0"/>
          <c:cat>
            <c:strRef>
              <c:f>'Fisheries trade by product'!$AF$5:$AN$5</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'Fisheries trade by product'!$AF$6:$AN$6</c:f>
              <c:numCache>
                <c:formatCode>General</c:formatCode>
                <c:ptCount val="9"/>
                <c:pt idx="0">
                  <c:v>255632473</c:v>
                </c:pt>
                <c:pt idx="1">
                  <c:v>280247981</c:v>
                </c:pt>
                <c:pt idx="2">
                  <c:v>286767413</c:v>
                </c:pt>
                <c:pt idx="3">
                  <c:v>317707577</c:v>
                </c:pt>
                <c:pt idx="4">
                  <c:v>318837327</c:v>
                </c:pt>
                <c:pt idx="5">
                  <c:v>376645339</c:v>
                </c:pt>
                <c:pt idx="6">
                  <c:v>375965447</c:v>
                </c:pt>
                <c:pt idx="7">
                  <c:v>427537767</c:v>
                </c:pt>
                <c:pt idx="8">
                  <c:v>310877871</c:v>
                </c:pt>
              </c:numCache>
            </c:numRef>
          </c:val>
        </c:ser>
        <c:ser>
          <c:idx val="1"/>
          <c:order val="1"/>
          <c:tx>
            <c:strRef>
              <c:f>'Fisheries trade by product'!$AD$7:$AE$7</c:f>
              <c:strCache>
                <c:ptCount val="1"/>
                <c:pt idx="0">
                  <c:v>030366 Hake, Frozen</c:v>
                </c:pt>
              </c:strCache>
            </c:strRef>
          </c:tx>
          <c:spPr>
            <a:scene3d>
              <a:camera prst="orthographicFront"/>
              <a:lightRig rig="threePt" dir="t"/>
            </a:scene3d>
            <a:sp3d>
              <a:bevelT/>
            </a:sp3d>
          </c:spPr>
          <c:invertIfNegative val="0"/>
          <c:cat>
            <c:strRef>
              <c:f>'Fisheries trade by product'!$AF$5:$AN$5</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'Fisheries trade by product'!$AF$7:$AN$7</c:f>
              <c:numCache>
                <c:formatCode>General</c:formatCode>
                <c:ptCount val="9"/>
                <c:pt idx="0">
                  <c:v>118039833</c:v>
                </c:pt>
                <c:pt idx="1">
                  <c:v>111540782</c:v>
                </c:pt>
                <c:pt idx="2">
                  <c:v>131100131</c:v>
                </c:pt>
                <c:pt idx="3">
                  <c:v>127960304</c:v>
                </c:pt>
                <c:pt idx="4">
                  <c:v>154467858</c:v>
                </c:pt>
                <c:pt idx="5">
                  <c:v>158213836</c:v>
                </c:pt>
                <c:pt idx="6">
                  <c:v>152736879</c:v>
                </c:pt>
                <c:pt idx="7">
                  <c:v>138923065</c:v>
                </c:pt>
                <c:pt idx="8">
                  <c:v>127416044</c:v>
                </c:pt>
              </c:numCache>
            </c:numRef>
          </c:val>
        </c:ser>
        <c:ser>
          <c:idx val="2"/>
          <c:order val="2"/>
          <c:tx>
            <c:strRef>
              <c:f>'Fisheries trade by product'!$AD$8:$AE$8</c:f>
              <c:strCache>
                <c:ptCount val="1"/>
                <c:pt idx="0">
                  <c:v>030389 Fish, Frozen, Nesoi</c:v>
                </c:pt>
              </c:strCache>
            </c:strRef>
          </c:tx>
          <c:spPr>
            <a:scene3d>
              <a:camera prst="orthographicFront"/>
              <a:lightRig rig="threePt" dir="t"/>
            </a:scene3d>
            <a:sp3d>
              <a:bevelT/>
            </a:sp3d>
          </c:spPr>
          <c:invertIfNegative val="0"/>
          <c:cat>
            <c:strRef>
              <c:f>'Fisheries trade by product'!$AF$5:$AN$5</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'Fisheries trade by product'!$AF$8:$AN$8</c:f>
              <c:numCache>
                <c:formatCode>General</c:formatCode>
                <c:ptCount val="9"/>
                <c:pt idx="0">
                  <c:v>64134162</c:v>
                </c:pt>
                <c:pt idx="1">
                  <c:v>59302077</c:v>
                </c:pt>
                <c:pt idx="2">
                  <c:v>89229265</c:v>
                </c:pt>
                <c:pt idx="3">
                  <c:v>92866943</c:v>
                </c:pt>
                <c:pt idx="4">
                  <c:v>85447816</c:v>
                </c:pt>
                <c:pt idx="5">
                  <c:v>126497812</c:v>
                </c:pt>
                <c:pt idx="6">
                  <c:v>100581731</c:v>
                </c:pt>
                <c:pt idx="7">
                  <c:v>94802507</c:v>
                </c:pt>
                <c:pt idx="8">
                  <c:v>96449656</c:v>
                </c:pt>
              </c:numCache>
            </c:numRef>
          </c:val>
        </c:ser>
        <c:ser>
          <c:idx val="3"/>
          <c:order val="3"/>
          <c:tx>
            <c:strRef>
              <c:f>'Fisheries trade by product'!$AD$9:$AE$9</c:f>
              <c:strCache>
                <c:ptCount val="1"/>
                <c:pt idx="0">
                  <c:v>030611 Rock Lobster And Other Sea Crawfish, Frozen</c:v>
                </c:pt>
              </c:strCache>
            </c:strRef>
          </c:tx>
          <c:spPr>
            <a:solidFill>
              <a:srgbClr val="F9671C"/>
            </a:solidFill>
            <a:scene3d>
              <a:camera prst="orthographicFront"/>
              <a:lightRig rig="threePt" dir="t"/>
            </a:scene3d>
            <a:sp3d>
              <a:bevelT/>
            </a:sp3d>
          </c:spPr>
          <c:invertIfNegative val="0"/>
          <c:cat>
            <c:strRef>
              <c:f>'Fisheries trade by product'!$AF$5:$AN$5</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'Fisheries trade by product'!$AF$9:$AN$9</c:f>
              <c:numCache>
                <c:formatCode>General</c:formatCode>
                <c:ptCount val="9"/>
                <c:pt idx="0">
                  <c:v>65619591</c:v>
                </c:pt>
                <c:pt idx="1">
                  <c:v>51346373</c:v>
                </c:pt>
                <c:pt idx="2">
                  <c:v>81336584</c:v>
                </c:pt>
                <c:pt idx="3">
                  <c:v>33895642</c:v>
                </c:pt>
                <c:pt idx="4">
                  <c:v>54354314</c:v>
                </c:pt>
                <c:pt idx="5">
                  <c:v>112494561</c:v>
                </c:pt>
                <c:pt idx="6">
                  <c:v>89062078</c:v>
                </c:pt>
                <c:pt idx="7">
                  <c:v>37158910</c:v>
                </c:pt>
                <c:pt idx="8">
                  <c:v>64683828</c:v>
                </c:pt>
              </c:numCache>
            </c:numRef>
          </c:val>
        </c:ser>
        <c:ser>
          <c:idx val="4"/>
          <c:order val="4"/>
          <c:tx>
            <c:strRef>
              <c:f>'Fisheries trade by product'!$AD$10:$AE$10</c:f>
              <c:strCache>
                <c:ptCount val="1"/>
                <c:pt idx="0">
                  <c:v>030749 Cuttle Fish &amp; Squid, Froz, Dri, Salted Or In Brine</c:v>
                </c:pt>
              </c:strCache>
            </c:strRef>
          </c:tx>
          <c:spPr>
            <a:solidFill>
              <a:srgbClr val="B46E12"/>
            </a:solidFill>
            <a:scene3d>
              <a:camera prst="orthographicFront"/>
              <a:lightRig rig="threePt" dir="t"/>
            </a:scene3d>
            <a:sp3d>
              <a:bevelT/>
            </a:sp3d>
          </c:spPr>
          <c:invertIfNegative val="0"/>
          <c:cat>
            <c:strRef>
              <c:f>'Fisheries trade by product'!$AF$5:$AN$5</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'Fisheries trade by product'!$AF$10:$AN$10</c:f>
              <c:numCache>
                <c:formatCode>General</c:formatCode>
                <c:ptCount val="9"/>
                <c:pt idx="0">
                  <c:v>276090247</c:v>
                </c:pt>
                <c:pt idx="1">
                  <c:v>159439748</c:v>
                </c:pt>
                <c:pt idx="2">
                  <c:v>81398449</c:v>
                </c:pt>
                <c:pt idx="3">
                  <c:v>127586530</c:v>
                </c:pt>
                <c:pt idx="4">
                  <c:v>406204091</c:v>
                </c:pt>
                <c:pt idx="5">
                  <c:v>115189026</c:v>
                </c:pt>
                <c:pt idx="6">
                  <c:v>107722101</c:v>
                </c:pt>
                <c:pt idx="7">
                  <c:v>366200101</c:v>
                </c:pt>
                <c:pt idx="8">
                  <c:v>63211793</c:v>
                </c:pt>
              </c:numCache>
            </c:numRef>
          </c:val>
        </c:ser>
        <c:dLbls>
          <c:showLegendKey val="0"/>
          <c:showVal val="0"/>
          <c:showCatName val="0"/>
          <c:showSerName val="0"/>
          <c:showPercent val="0"/>
          <c:showBubbleSize val="0"/>
        </c:dLbls>
        <c:gapWidth val="150"/>
        <c:axId val="599174144"/>
        <c:axId val="599225088"/>
      </c:barChart>
      <c:catAx>
        <c:axId val="599174144"/>
        <c:scaling>
          <c:orientation val="minMax"/>
        </c:scaling>
        <c:delete val="0"/>
        <c:axPos val="b"/>
        <c:numFmt formatCode="General" sourceLinked="0"/>
        <c:majorTickMark val="out"/>
        <c:minorTickMark val="none"/>
        <c:tickLblPos val="nextTo"/>
        <c:crossAx val="599225088"/>
        <c:crosses val="autoZero"/>
        <c:auto val="1"/>
        <c:lblAlgn val="ctr"/>
        <c:lblOffset val="100"/>
        <c:noMultiLvlLbl val="0"/>
      </c:catAx>
      <c:valAx>
        <c:axId val="599225088"/>
        <c:scaling>
          <c:orientation val="minMax"/>
        </c:scaling>
        <c:delete val="0"/>
        <c:axPos val="l"/>
        <c:majorGridlines/>
        <c:numFmt formatCode="General" sourceLinked="1"/>
        <c:majorTickMark val="out"/>
        <c:minorTickMark val="none"/>
        <c:tickLblPos val="nextTo"/>
        <c:crossAx val="599174144"/>
        <c:crosses val="autoZero"/>
        <c:crossBetween val="between"/>
        <c:dispUnits>
          <c:builtInUnit val="millions"/>
          <c:dispUnitsLbl>
            <c:layout>
              <c:manualLayout>
                <c:xMode val="edge"/>
                <c:yMode val="edge"/>
                <c:x val="1.6666666666666691E-2"/>
                <c:y val="0.14814797206952904"/>
              </c:manualLayout>
            </c:layout>
            <c:tx>
              <c:rich>
                <a:bodyPr/>
                <a:lstStyle/>
                <a:p>
                  <a:pPr>
                    <a:defRPr b="0"/>
                  </a:pPr>
                  <a:r>
                    <a:rPr lang="en-ZA" b="0"/>
                    <a:t>R million</a:t>
                  </a:r>
                </a:p>
              </c:rich>
            </c:tx>
          </c:dispUnitsLbl>
        </c:dispUnits>
      </c:valAx>
    </c:plotArea>
    <c:legend>
      <c:legendPos val="b"/>
      <c:overlay val="0"/>
    </c:legend>
    <c:plotVisOnly val="1"/>
    <c:dispBlanksAs val="gap"/>
    <c:showDLblsOverMax val="0"/>
  </c:chart>
  <c:spPr>
    <a:solidFill>
      <a:schemeClr val="accent3">
        <a:lumMod val="20000"/>
        <a:lumOff val="80000"/>
      </a:schemeClr>
    </a:solidFill>
  </c:spPr>
  <c:txPr>
    <a:bodyPr/>
    <a:lstStyle/>
    <a:p>
      <a:pPr>
        <a:defRPr>
          <a:latin typeface="Arial" pitchFamily="34" charset="0"/>
          <a:cs typeface="Arial" pitchFamily="34" charset="0"/>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2"/>
          <c:tx>
            <c:strRef>
              <c:f>'Forestry trade'!$Y$8</c:f>
              <c:strCache>
                <c:ptCount val="1"/>
                <c:pt idx="0">
                  <c:v>Trade Balance</c:v>
                </c:pt>
              </c:strCache>
            </c:strRef>
          </c:tx>
          <c:spPr>
            <a:solidFill>
              <a:srgbClr val="005D28"/>
            </a:solidFill>
            <a:scene3d>
              <a:camera prst="orthographicFront"/>
              <a:lightRig rig="threePt" dir="t"/>
            </a:scene3d>
            <a:sp3d>
              <a:bevelT/>
            </a:sp3d>
          </c:spPr>
          <c:invertIfNegative val="0"/>
          <c:cat>
            <c:strRef>
              <c:f>'Forestry trade'!$Z$5:$AH$5</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'Forestry trade'!$Z$8:$AH$8</c:f>
              <c:numCache>
                <c:formatCode>#,##0</c:formatCode>
                <c:ptCount val="9"/>
                <c:pt idx="0">
                  <c:v>1035939271</c:v>
                </c:pt>
                <c:pt idx="1">
                  <c:v>1198770597</c:v>
                </c:pt>
                <c:pt idx="2">
                  <c:v>1132292573</c:v>
                </c:pt>
                <c:pt idx="3">
                  <c:v>1543343501</c:v>
                </c:pt>
                <c:pt idx="4">
                  <c:v>1781262638</c:v>
                </c:pt>
                <c:pt idx="5">
                  <c:v>2161542595</c:v>
                </c:pt>
                <c:pt idx="6">
                  <c:v>2093430107</c:v>
                </c:pt>
                <c:pt idx="7">
                  <c:v>1605166820</c:v>
                </c:pt>
                <c:pt idx="8">
                  <c:v>2158282096</c:v>
                </c:pt>
              </c:numCache>
            </c:numRef>
          </c:val>
        </c:ser>
        <c:dLbls>
          <c:showLegendKey val="0"/>
          <c:showVal val="0"/>
          <c:showCatName val="0"/>
          <c:showSerName val="0"/>
          <c:showPercent val="0"/>
          <c:showBubbleSize val="0"/>
        </c:dLbls>
        <c:gapWidth val="150"/>
        <c:axId val="599251200"/>
        <c:axId val="599286144"/>
      </c:barChart>
      <c:lineChart>
        <c:grouping val="standard"/>
        <c:varyColors val="0"/>
        <c:ser>
          <c:idx val="0"/>
          <c:order val="0"/>
          <c:tx>
            <c:strRef>
              <c:f>'Forestry trade'!$Y$6</c:f>
              <c:strCache>
                <c:ptCount val="1"/>
                <c:pt idx="0">
                  <c:v>Exports</c:v>
                </c:pt>
              </c:strCache>
            </c:strRef>
          </c:tx>
          <c:spPr>
            <a:ln>
              <a:solidFill>
                <a:srgbClr val="D8A851"/>
              </a:solidFill>
            </a:ln>
          </c:spPr>
          <c:marker>
            <c:spPr>
              <a:solidFill>
                <a:srgbClr val="D8A851"/>
              </a:solidFill>
              <a:ln>
                <a:solidFill>
                  <a:srgbClr val="D8A851"/>
                </a:solidFill>
              </a:ln>
            </c:spPr>
          </c:marker>
          <c:cat>
            <c:strRef>
              <c:f>'Forestry trade'!$Z$5:$AH$5</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'Forestry trade'!$Z$6:$AH$6</c:f>
              <c:numCache>
                <c:formatCode>#,##0</c:formatCode>
                <c:ptCount val="9"/>
                <c:pt idx="0">
                  <c:v>5969970485</c:v>
                </c:pt>
                <c:pt idx="1">
                  <c:v>6062053468</c:v>
                </c:pt>
                <c:pt idx="2">
                  <c:v>6804261409</c:v>
                </c:pt>
                <c:pt idx="3">
                  <c:v>7593280624</c:v>
                </c:pt>
                <c:pt idx="4">
                  <c:v>7780564289</c:v>
                </c:pt>
                <c:pt idx="5">
                  <c:v>7606027215</c:v>
                </c:pt>
                <c:pt idx="6">
                  <c:v>8001826285</c:v>
                </c:pt>
                <c:pt idx="7">
                  <c:v>7147703706</c:v>
                </c:pt>
                <c:pt idx="8">
                  <c:v>7039636499</c:v>
                </c:pt>
              </c:numCache>
            </c:numRef>
          </c:val>
          <c:smooth val="0"/>
        </c:ser>
        <c:ser>
          <c:idx val="1"/>
          <c:order val="1"/>
          <c:tx>
            <c:strRef>
              <c:f>'Forestry trade'!$Y$7</c:f>
              <c:strCache>
                <c:ptCount val="1"/>
                <c:pt idx="0">
                  <c:v>Imports</c:v>
                </c:pt>
              </c:strCache>
            </c:strRef>
          </c:tx>
          <c:spPr>
            <a:ln>
              <a:solidFill>
                <a:srgbClr val="F9671C"/>
              </a:solidFill>
            </a:ln>
          </c:spPr>
          <c:marker>
            <c:spPr>
              <a:solidFill>
                <a:srgbClr val="F9671C"/>
              </a:solidFill>
              <a:ln>
                <a:solidFill>
                  <a:srgbClr val="F9671C"/>
                </a:solidFill>
              </a:ln>
            </c:spPr>
          </c:marker>
          <c:cat>
            <c:strRef>
              <c:f>'Forestry trade'!$Z$5:$AH$5</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'Forestry trade'!$Z$7:$AH$7</c:f>
              <c:numCache>
                <c:formatCode>#,##0</c:formatCode>
                <c:ptCount val="9"/>
                <c:pt idx="0">
                  <c:v>4934031214</c:v>
                </c:pt>
                <c:pt idx="1">
                  <c:v>4863282871</c:v>
                </c:pt>
                <c:pt idx="2">
                  <c:v>5671968836</c:v>
                </c:pt>
                <c:pt idx="3">
                  <c:v>6049937123</c:v>
                </c:pt>
                <c:pt idx="4">
                  <c:v>5999301651</c:v>
                </c:pt>
                <c:pt idx="5">
                  <c:v>5444484620</c:v>
                </c:pt>
                <c:pt idx="6">
                  <c:v>5908396178</c:v>
                </c:pt>
                <c:pt idx="7">
                  <c:v>5542536886</c:v>
                </c:pt>
                <c:pt idx="8">
                  <c:v>4881354403</c:v>
                </c:pt>
              </c:numCache>
            </c:numRef>
          </c:val>
          <c:smooth val="0"/>
        </c:ser>
        <c:dLbls>
          <c:showLegendKey val="0"/>
          <c:showVal val="0"/>
          <c:showCatName val="0"/>
          <c:showSerName val="0"/>
          <c:showPercent val="0"/>
          <c:showBubbleSize val="0"/>
        </c:dLbls>
        <c:marker val="1"/>
        <c:smooth val="0"/>
        <c:axId val="599251200"/>
        <c:axId val="599286144"/>
      </c:lineChart>
      <c:catAx>
        <c:axId val="599251200"/>
        <c:scaling>
          <c:orientation val="minMax"/>
        </c:scaling>
        <c:delete val="0"/>
        <c:axPos val="b"/>
        <c:numFmt formatCode="General" sourceLinked="0"/>
        <c:majorTickMark val="out"/>
        <c:minorTickMark val="none"/>
        <c:tickLblPos val="nextTo"/>
        <c:crossAx val="599286144"/>
        <c:crosses val="autoZero"/>
        <c:auto val="1"/>
        <c:lblAlgn val="ctr"/>
        <c:lblOffset val="100"/>
        <c:noMultiLvlLbl val="0"/>
      </c:catAx>
      <c:valAx>
        <c:axId val="599286144"/>
        <c:scaling>
          <c:orientation val="minMax"/>
        </c:scaling>
        <c:delete val="0"/>
        <c:axPos val="l"/>
        <c:majorGridlines/>
        <c:numFmt formatCode="#,##0" sourceLinked="1"/>
        <c:majorTickMark val="out"/>
        <c:minorTickMark val="none"/>
        <c:tickLblPos val="nextTo"/>
        <c:crossAx val="599251200"/>
        <c:crosses val="autoZero"/>
        <c:crossBetween val="between"/>
        <c:dispUnits>
          <c:builtInUnit val="millions"/>
          <c:dispUnitsLbl>
            <c:layout>
              <c:manualLayout>
                <c:xMode val="edge"/>
                <c:yMode val="edge"/>
                <c:x val="2.2222222222222251E-2"/>
                <c:y val="0.24537037037037041"/>
              </c:manualLayout>
            </c:layout>
            <c:tx>
              <c:rich>
                <a:bodyPr/>
                <a:lstStyle/>
                <a:p>
                  <a:pPr>
                    <a:defRPr b="0"/>
                  </a:pPr>
                  <a:r>
                    <a:rPr lang="en-ZA" b="0"/>
                    <a:t>R million</a:t>
                  </a:r>
                </a:p>
              </c:rich>
            </c:tx>
          </c:dispUnitsLbl>
        </c:dispUnits>
      </c:valAx>
    </c:plotArea>
    <c:legend>
      <c:legendPos val="b"/>
      <c:overlay val="0"/>
    </c:legend>
    <c:plotVisOnly val="1"/>
    <c:dispBlanksAs val="gap"/>
    <c:showDLblsOverMax val="0"/>
  </c:chart>
  <c:spPr>
    <a:solidFill>
      <a:schemeClr val="accent3">
        <a:lumMod val="20000"/>
        <a:lumOff val="80000"/>
      </a:schemeClr>
    </a:solidFill>
  </c:spPr>
  <c:txPr>
    <a:bodyPr/>
    <a:lstStyle/>
    <a:p>
      <a:pPr>
        <a:defRPr>
          <a:latin typeface="Arial" pitchFamily="34" charset="0"/>
          <a:cs typeface="Arial" pitchFamily="34" charset="0"/>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'Forestry trade by products'!$AD$7:$AE$7</c:f>
              <c:strCache>
                <c:ptCount val="1"/>
                <c:pt idx="0">
                  <c:v>470200 Chemical Woodpulp, Dissolving Grades</c:v>
                </c:pt>
              </c:strCache>
            </c:strRef>
          </c:tx>
          <c:spPr>
            <a:solidFill>
              <a:srgbClr val="005D28"/>
            </a:solidFill>
            <a:scene3d>
              <a:camera prst="orthographicFront"/>
              <a:lightRig rig="threePt" dir="t"/>
            </a:scene3d>
            <a:sp3d>
              <a:bevelT/>
            </a:sp3d>
          </c:spPr>
          <c:invertIfNegative val="0"/>
          <c:cat>
            <c:strRef>
              <c:f>'Forestry trade by products'!$AF$6:$AN$6</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'Forestry trade by products'!$AF$7:$AN$7</c:f>
              <c:numCache>
                <c:formatCode>#,##0</c:formatCode>
                <c:ptCount val="9"/>
                <c:pt idx="0">
                  <c:v>1972093706</c:v>
                </c:pt>
                <c:pt idx="1">
                  <c:v>1990723498</c:v>
                </c:pt>
                <c:pt idx="2">
                  <c:v>2511803992</c:v>
                </c:pt>
                <c:pt idx="3">
                  <c:v>2426322826</c:v>
                </c:pt>
                <c:pt idx="4">
                  <c:v>2764512235</c:v>
                </c:pt>
                <c:pt idx="5">
                  <c:v>2475221882</c:v>
                </c:pt>
                <c:pt idx="6">
                  <c:v>2932502574</c:v>
                </c:pt>
                <c:pt idx="7">
                  <c:v>2421994753</c:v>
                </c:pt>
                <c:pt idx="8">
                  <c:v>2682581814</c:v>
                </c:pt>
              </c:numCache>
            </c:numRef>
          </c:val>
        </c:ser>
        <c:ser>
          <c:idx val="1"/>
          <c:order val="1"/>
          <c:tx>
            <c:strRef>
              <c:f>'Forestry trade by products'!$AD$8:$AE$8</c:f>
              <c:strCache>
                <c:ptCount val="1"/>
                <c:pt idx="0">
                  <c:v>440122 Wood In Chips Or Particles, Nonconiferous</c:v>
                </c:pt>
              </c:strCache>
            </c:strRef>
          </c:tx>
          <c:spPr>
            <a:solidFill>
              <a:srgbClr val="F9671C"/>
            </a:solidFill>
            <a:scene3d>
              <a:camera prst="orthographicFront"/>
              <a:lightRig rig="threePt" dir="t"/>
            </a:scene3d>
            <a:sp3d>
              <a:bevelT/>
            </a:sp3d>
          </c:spPr>
          <c:invertIfNegative val="0"/>
          <c:cat>
            <c:strRef>
              <c:f>'Forestry trade by products'!$AF$6:$AN$6</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'Forestry trade by products'!$AF$8:$AN$8</c:f>
              <c:numCache>
                <c:formatCode>#,##0</c:formatCode>
                <c:ptCount val="9"/>
                <c:pt idx="0">
                  <c:v>601248475</c:v>
                </c:pt>
                <c:pt idx="1">
                  <c:v>702940581</c:v>
                </c:pt>
                <c:pt idx="2">
                  <c:v>561877220</c:v>
                </c:pt>
                <c:pt idx="3">
                  <c:v>700001153</c:v>
                </c:pt>
                <c:pt idx="4">
                  <c:v>650480013</c:v>
                </c:pt>
                <c:pt idx="5">
                  <c:v>758869190</c:v>
                </c:pt>
                <c:pt idx="6">
                  <c:v>641130184</c:v>
                </c:pt>
                <c:pt idx="7">
                  <c:v>849636111</c:v>
                </c:pt>
                <c:pt idx="8">
                  <c:v>769995528</c:v>
                </c:pt>
              </c:numCache>
            </c:numRef>
          </c:val>
        </c:ser>
        <c:ser>
          <c:idx val="2"/>
          <c:order val="2"/>
          <c:tx>
            <c:strRef>
              <c:f>'Forestry trade by products'!$AD$9:$AE$9</c:f>
              <c:strCache>
                <c:ptCount val="1"/>
                <c:pt idx="0">
                  <c:v>480419 Kraftliner, Uncoated, Bleached, In Rolls Or Sheets</c:v>
                </c:pt>
              </c:strCache>
            </c:strRef>
          </c:tx>
          <c:spPr>
            <a:scene3d>
              <a:camera prst="orthographicFront"/>
              <a:lightRig rig="threePt" dir="t"/>
            </a:scene3d>
            <a:sp3d>
              <a:bevelT/>
            </a:sp3d>
          </c:spPr>
          <c:invertIfNegative val="0"/>
          <c:cat>
            <c:strRef>
              <c:f>'Forestry trade by products'!$AF$6:$AN$6</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'Forestry trade by products'!$AF$9:$AN$9</c:f>
              <c:numCache>
                <c:formatCode>#,##0</c:formatCode>
                <c:ptCount val="9"/>
                <c:pt idx="0">
                  <c:v>474480096</c:v>
                </c:pt>
                <c:pt idx="1">
                  <c:v>420444172</c:v>
                </c:pt>
                <c:pt idx="2">
                  <c:v>463579085</c:v>
                </c:pt>
                <c:pt idx="3">
                  <c:v>1006096464</c:v>
                </c:pt>
                <c:pt idx="4">
                  <c:v>1063764164</c:v>
                </c:pt>
                <c:pt idx="5">
                  <c:v>823347458</c:v>
                </c:pt>
                <c:pt idx="6">
                  <c:v>932699155</c:v>
                </c:pt>
                <c:pt idx="7">
                  <c:v>509702345</c:v>
                </c:pt>
                <c:pt idx="8">
                  <c:v>557766416</c:v>
                </c:pt>
              </c:numCache>
            </c:numRef>
          </c:val>
        </c:ser>
        <c:ser>
          <c:idx val="3"/>
          <c:order val="3"/>
          <c:tx>
            <c:strRef>
              <c:f>'Forestry trade by products'!$AD$10:$AE$10</c:f>
              <c:strCache>
                <c:ptCount val="1"/>
                <c:pt idx="0">
                  <c:v>470329 Chem Woodpulp, Soda Etc, N Dis S Bl &amp; Bl Nonconif</c:v>
                </c:pt>
              </c:strCache>
            </c:strRef>
          </c:tx>
          <c:spPr>
            <a:solidFill>
              <a:srgbClr val="C00000"/>
            </a:solidFill>
            <a:scene3d>
              <a:camera prst="orthographicFront"/>
              <a:lightRig rig="threePt" dir="t"/>
            </a:scene3d>
            <a:sp3d>
              <a:bevelT/>
            </a:sp3d>
          </c:spPr>
          <c:invertIfNegative val="0"/>
          <c:cat>
            <c:strRef>
              <c:f>'Forestry trade by products'!$AF$6:$AN$6</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'Forestry trade by products'!$AF$10:$AN$10</c:f>
              <c:numCache>
                <c:formatCode>#,##0</c:formatCode>
                <c:ptCount val="9"/>
                <c:pt idx="0">
                  <c:v>224475884</c:v>
                </c:pt>
                <c:pt idx="1">
                  <c:v>332659394</c:v>
                </c:pt>
                <c:pt idx="2">
                  <c:v>372254643</c:v>
                </c:pt>
                <c:pt idx="3">
                  <c:v>362180840</c:v>
                </c:pt>
                <c:pt idx="4">
                  <c:v>339981363</c:v>
                </c:pt>
                <c:pt idx="5">
                  <c:v>546803431</c:v>
                </c:pt>
                <c:pt idx="6">
                  <c:v>383923652</c:v>
                </c:pt>
                <c:pt idx="7">
                  <c:v>258568047</c:v>
                </c:pt>
                <c:pt idx="8">
                  <c:v>512366896</c:v>
                </c:pt>
              </c:numCache>
            </c:numRef>
          </c:val>
        </c:ser>
        <c:ser>
          <c:idx val="4"/>
          <c:order val="4"/>
          <c:tx>
            <c:strRef>
              <c:f>'Forestry trade by products'!$AD$11:$AE$11</c:f>
              <c:strCache>
                <c:ptCount val="1"/>
                <c:pt idx="0">
                  <c:v>480256 Paper,Uncoat,Nt Ov 10% Wt Mec Prc;40-150G/M2,Shets</c:v>
                </c:pt>
              </c:strCache>
            </c:strRef>
          </c:tx>
          <c:spPr>
            <a:solidFill>
              <a:srgbClr val="B46E12"/>
            </a:solidFill>
            <a:scene3d>
              <a:camera prst="orthographicFront"/>
              <a:lightRig rig="threePt" dir="t"/>
            </a:scene3d>
            <a:sp3d>
              <a:bevelT/>
            </a:sp3d>
          </c:spPr>
          <c:invertIfNegative val="0"/>
          <c:cat>
            <c:strRef>
              <c:f>'Forestry trade by products'!$AF$6:$AN$6</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'Forestry trade by products'!$AF$11:$AN$11</c:f>
              <c:numCache>
                <c:formatCode>#,##0</c:formatCode>
                <c:ptCount val="9"/>
                <c:pt idx="0">
                  <c:v>144676852</c:v>
                </c:pt>
                <c:pt idx="1">
                  <c:v>131217232</c:v>
                </c:pt>
                <c:pt idx="2">
                  <c:v>128230835</c:v>
                </c:pt>
                <c:pt idx="3">
                  <c:v>122775961</c:v>
                </c:pt>
                <c:pt idx="4">
                  <c:v>161180770</c:v>
                </c:pt>
                <c:pt idx="5">
                  <c:v>134924107</c:v>
                </c:pt>
                <c:pt idx="6">
                  <c:v>121437603</c:v>
                </c:pt>
                <c:pt idx="7">
                  <c:v>122224967</c:v>
                </c:pt>
                <c:pt idx="8">
                  <c:v>190369638</c:v>
                </c:pt>
              </c:numCache>
            </c:numRef>
          </c:val>
        </c:ser>
        <c:dLbls>
          <c:showLegendKey val="0"/>
          <c:showVal val="0"/>
          <c:showCatName val="0"/>
          <c:showSerName val="0"/>
          <c:showPercent val="0"/>
          <c:showBubbleSize val="0"/>
        </c:dLbls>
        <c:gapWidth val="150"/>
        <c:axId val="599416192"/>
        <c:axId val="599422080"/>
      </c:barChart>
      <c:catAx>
        <c:axId val="599416192"/>
        <c:scaling>
          <c:orientation val="minMax"/>
        </c:scaling>
        <c:delete val="0"/>
        <c:axPos val="b"/>
        <c:numFmt formatCode="General" sourceLinked="0"/>
        <c:majorTickMark val="out"/>
        <c:minorTickMark val="none"/>
        <c:tickLblPos val="nextTo"/>
        <c:crossAx val="599422080"/>
        <c:crosses val="autoZero"/>
        <c:auto val="1"/>
        <c:lblAlgn val="ctr"/>
        <c:lblOffset val="100"/>
        <c:noMultiLvlLbl val="0"/>
      </c:catAx>
      <c:valAx>
        <c:axId val="599422080"/>
        <c:scaling>
          <c:orientation val="minMax"/>
        </c:scaling>
        <c:delete val="0"/>
        <c:axPos val="l"/>
        <c:majorGridlines/>
        <c:numFmt formatCode="#,##0" sourceLinked="1"/>
        <c:majorTickMark val="out"/>
        <c:minorTickMark val="none"/>
        <c:tickLblPos val="nextTo"/>
        <c:crossAx val="599416192"/>
        <c:crosses val="autoZero"/>
        <c:crossBetween val="between"/>
        <c:dispUnits>
          <c:builtInUnit val="millions"/>
          <c:dispUnitsLbl>
            <c:layout>
              <c:manualLayout>
                <c:xMode val="edge"/>
                <c:yMode val="edge"/>
                <c:x val="2.2222222222222251E-2"/>
                <c:y val="0.17409766454352441"/>
              </c:manualLayout>
            </c:layout>
            <c:tx>
              <c:rich>
                <a:bodyPr/>
                <a:lstStyle/>
                <a:p>
                  <a:pPr>
                    <a:defRPr/>
                  </a:pPr>
                  <a:r>
                    <a:rPr lang="en-ZA"/>
                    <a:t>R million</a:t>
                  </a:r>
                </a:p>
              </c:rich>
            </c:tx>
          </c:dispUnitsLbl>
        </c:dispUnits>
      </c:valAx>
    </c:plotArea>
    <c:legend>
      <c:legendPos val="b"/>
      <c:overlay val="0"/>
    </c:legend>
    <c:plotVisOnly val="1"/>
    <c:dispBlanksAs val="gap"/>
    <c:showDLblsOverMax val="0"/>
  </c:chart>
  <c:spPr>
    <a:solidFill>
      <a:schemeClr val="accent3">
        <a:lumMod val="20000"/>
        <a:lumOff val="80000"/>
      </a:schemeClr>
    </a:solidFill>
  </c:spPr>
  <c:txPr>
    <a:bodyPr/>
    <a:lstStyle/>
    <a:p>
      <a:pPr>
        <a:defRPr b="0">
          <a:latin typeface="Arial" pitchFamily="34" charset="0"/>
          <a:cs typeface="Arial" pitchFamily="34" charset="0"/>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'Forestry trade by products'!$AD$15:$AE$15</c:f>
              <c:strCache>
                <c:ptCount val="1"/>
                <c:pt idx="0">
                  <c:v>490199 Printed Books, Brochures, Etc., Nesoi</c:v>
                </c:pt>
              </c:strCache>
            </c:strRef>
          </c:tx>
          <c:spPr>
            <a:solidFill>
              <a:srgbClr val="005D28"/>
            </a:solidFill>
            <a:scene3d>
              <a:camera prst="orthographicFront"/>
              <a:lightRig rig="threePt" dir="t"/>
            </a:scene3d>
            <a:sp3d>
              <a:bevelT/>
            </a:sp3d>
          </c:spPr>
          <c:invertIfNegative val="0"/>
          <c:cat>
            <c:strRef>
              <c:f>'Forestry trade by products'!$AF$14:$AN$14</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'Forestry trade by products'!$AF$15:$AN$15</c:f>
              <c:numCache>
                <c:formatCode>#,##0</c:formatCode>
                <c:ptCount val="9"/>
                <c:pt idx="0">
                  <c:v>419970264</c:v>
                </c:pt>
                <c:pt idx="1">
                  <c:v>366481120</c:v>
                </c:pt>
                <c:pt idx="2">
                  <c:v>437378090</c:v>
                </c:pt>
                <c:pt idx="3">
                  <c:v>583240208</c:v>
                </c:pt>
                <c:pt idx="4">
                  <c:v>438130573</c:v>
                </c:pt>
                <c:pt idx="5">
                  <c:v>318712227</c:v>
                </c:pt>
                <c:pt idx="6">
                  <c:v>377839381</c:v>
                </c:pt>
                <c:pt idx="7">
                  <c:v>497294743</c:v>
                </c:pt>
                <c:pt idx="8">
                  <c:v>382186604</c:v>
                </c:pt>
              </c:numCache>
            </c:numRef>
          </c:val>
        </c:ser>
        <c:ser>
          <c:idx val="1"/>
          <c:order val="1"/>
          <c:tx>
            <c:strRef>
              <c:f>'Forestry trade by products'!$AD$16:$AE$16</c:f>
              <c:strCache>
                <c:ptCount val="1"/>
                <c:pt idx="0">
                  <c:v>481159 Ppr/Pbrd Coat/Impg/Cvr W/ Plastic, Nesoi</c:v>
                </c:pt>
              </c:strCache>
            </c:strRef>
          </c:tx>
          <c:spPr>
            <a:scene3d>
              <a:camera prst="orthographicFront"/>
              <a:lightRig rig="threePt" dir="t"/>
            </a:scene3d>
            <a:sp3d>
              <a:bevelT/>
            </a:sp3d>
          </c:spPr>
          <c:invertIfNegative val="0"/>
          <c:cat>
            <c:strRef>
              <c:f>'Forestry trade by products'!$AF$14:$AN$14</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'Forestry trade by products'!$AF$16:$AN$16</c:f>
              <c:numCache>
                <c:formatCode>#,##0</c:formatCode>
                <c:ptCount val="9"/>
                <c:pt idx="0">
                  <c:v>237837168</c:v>
                </c:pt>
                <c:pt idx="1">
                  <c:v>267294204</c:v>
                </c:pt>
                <c:pt idx="2">
                  <c:v>355495953</c:v>
                </c:pt>
                <c:pt idx="3">
                  <c:v>393470881</c:v>
                </c:pt>
                <c:pt idx="4">
                  <c:v>254463660</c:v>
                </c:pt>
                <c:pt idx="5">
                  <c:v>288877143</c:v>
                </c:pt>
                <c:pt idx="6">
                  <c:v>383802361</c:v>
                </c:pt>
                <c:pt idx="7">
                  <c:v>249320450</c:v>
                </c:pt>
                <c:pt idx="8">
                  <c:v>242479871</c:v>
                </c:pt>
              </c:numCache>
            </c:numRef>
          </c:val>
        </c:ser>
        <c:ser>
          <c:idx val="2"/>
          <c:order val="2"/>
          <c:tx>
            <c:strRef>
              <c:f>'Forestry trade by products'!$AD$17:$AE$17</c:f>
              <c:strCache>
                <c:ptCount val="1"/>
                <c:pt idx="0">
                  <c:v>441600 Casks, Barrels, Vats, Etc. And Parts, Of Wood</c:v>
                </c:pt>
              </c:strCache>
            </c:strRef>
          </c:tx>
          <c:spPr>
            <a:scene3d>
              <a:camera prst="orthographicFront"/>
              <a:lightRig rig="threePt" dir="t"/>
            </a:scene3d>
            <a:sp3d>
              <a:bevelT/>
            </a:sp3d>
          </c:spPr>
          <c:invertIfNegative val="0"/>
          <c:cat>
            <c:strRef>
              <c:f>'Forestry trade by products'!$AF$14:$AN$14</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'Forestry trade by products'!$AF$17:$AN$17</c:f>
              <c:numCache>
                <c:formatCode>#,##0</c:formatCode>
                <c:ptCount val="9"/>
                <c:pt idx="0">
                  <c:v>195776817</c:v>
                </c:pt>
                <c:pt idx="1">
                  <c:v>31060597</c:v>
                </c:pt>
                <c:pt idx="2">
                  <c:v>13108854</c:v>
                </c:pt>
                <c:pt idx="3">
                  <c:v>25906976</c:v>
                </c:pt>
                <c:pt idx="4">
                  <c:v>259764394</c:v>
                </c:pt>
                <c:pt idx="5">
                  <c:v>38595764</c:v>
                </c:pt>
                <c:pt idx="6">
                  <c:v>13833204</c:v>
                </c:pt>
                <c:pt idx="7">
                  <c:v>30288952</c:v>
                </c:pt>
                <c:pt idx="8">
                  <c:v>207665178</c:v>
                </c:pt>
              </c:numCache>
            </c:numRef>
          </c:val>
        </c:ser>
        <c:ser>
          <c:idx val="3"/>
          <c:order val="3"/>
          <c:tx>
            <c:strRef>
              <c:f>'Forestry trade by products'!$AD$18:$AE$18</c:f>
              <c:strCache>
                <c:ptCount val="1"/>
                <c:pt idx="0">
                  <c:v>480257 Paper&amp;Ppb,</c:v>
                </c:pt>
              </c:strCache>
            </c:strRef>
          </c:tx>
          <c:spPr>
            <a:solidFill>
              <a:srgbClr val="D8A851"/>
            </a:solidFill>
            <a:scene3d>
              <a:camera prst="orthographicFront"/>
              <a:lightRig rig="threePt" dir="t"/>
            </a:scene3d>
            <a:sp3d>
              <a:bevelT/>
            </a:sp3d>
          </c:spPr>
          <c:invertIfNegative val="0"/>
          <c:cat>
            <c:strRef>
              <c:f>'Forestry trade by products'!$AF$14:$AN$14</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'Forestry trade by products'!$AF$18:$AN$18</c:f>
              <c:numCache>
                <c:formatCode>#,##0</c:formatCode>
                <c:ptCount val="9"/>
                <c:pt idx="0">
                  <c:v>81930261</c:v>
                </c:pt>
                <c:pt idx="1">
                  <c:v>102598236</c:v>
                </c:pt>
                <c:pt idx="2">
                  <c:v>161164665</c:v>
                </c:pt>
                <c:pt idx="3">
                  <c:v>115409815</c:v>
                </c:pt>
                <c:pt idx="4">
                  <c:v>107231762</c:v>
                </c:pt>
                <c:pt idx="5">
                  <c:v>138757850</c:v>
                </c:pt>
                <c:pt idx="6">
                  <c:v>119375907</c:v>
                </c:pt>
                <c:pt idx="7">
                  <c:v>135717067</c:v>
                </c:pt>
                <c:pt idx="8">
                  <c:v>200138746</c:v>
                </c:pt>
              </c:numCache>
            </c:numRef>
          </c:val>
        </c:ser>
        <c:ser>
          <c:idx val="4"/>
          <c:order val="4"/>
          <c:tx>
            <c:strRef>
              <c:f>'Forestry trade by products'!$AD$19:$AE$19</c:f>
              <c:strCache>
                <c:ptCount val="1"/>
                <c:pt idx="0">
                  <c:v>470321 Chemical Woodpulp, Soda Etc. N Dis S Bl &amp; Bl Conif</c:v>
                </c:pt>
              </c:strCache>
            </c:strRef>
          </c:tx>
          <c:spPr>
            <a:solidFill>
              <a:srgbClr val="FF0000"/>
            </a:solidFill>
            <a:scene3d>
              <a:camera prst="orthographicFront"/>
              <a:lightRig rig="threePt" dir="t"/>
            </a:scene3d>
            <a:sp3d>
              <a:bevelT/>
            </a:sp3d>
          </c:spPr>
          <c:invertIfNegative val="0"/>
          <c:cat>
            <c:strRef>
              <c:f>'Forestry trade by products'!$AF$14:$AN$14</c:f>
              <c:strCache>
                <c:ptCount val="9"/>
                <c:pt idx="0">
                  <c:v>1st/15 </c:v>
                </c:pt>
                <c:pt idx="1">
                  <c:v>2nd/15 </c:v>
                </c:pt>
                <c:pt idx="2">
                  <c:v>3rd/15 </c:v>
                </c:pt>
                <c:pt idx="3">
                  <c:v>4th/15 </c:v>
                </c:pt>
                <c:pt idx="4">
                  <c:v>1st/16 </c:v>
                </c:pt>
                <c:pt idx="5">
                  <c:v>2nd/16 </c:v>
                </c:pt>
                <c:pt idx="6">
                  <c:v>3rd/16 </c:v>
                </c:pt>
                <c:pt idx="7">
                  <c:v>4th/16 </c:v>
                </c:pt>
                <c:pt idx="8">
                  <c:v>1st/17 </c:v>
                </c:pt>
              </c:strCache>
            </c:strRef>
          </c:cat>
          <c:val>
            <c:numRef>
              <c:f>'Forestry trade by products'!$AF$19:$AN$19</c:f>
              <c:numCache>
                <c:formatCode>#,##0</c:formatCode>
                <c:ptCount val="9"/>
                <c:pt idx="0">
                  <c:v>200358783</c:v>
                </c:pt>
                <c:pt idx="1">
                  <c:v>200637811</c:v>
                </c:pt>
                <c:pt idx="2">
                  <c:v>195414205</c:v>
                </c:pt>
                <c:pt idx="3">
                  <c:v>165538694</c:v>
                </c:pt>
                <c:pt idx="4">
                  <c:v>214968351</c:v>
                </c:pt>
                <c:pt idx="5">
                  <c:v>171058747</c:v>
                </c:pt>
                <c:pt idx="6">
                  <c:v>170519172</c:v>
                </c:pt>
                <c:pt idx="7">
                  <c:v>209806413</c:v>
                </c:pt>
                <c:pt idx="8">
                  <c:v>173029252</c:v>
                </c:pt>
              </c:numCache>
            </c:numRef>
          </c:val>
        </c:ser>
        <c:dLbls>
          <c:showLegendKey val="0"/>
          <c:showVal val="0"/>
          <c:showCatName val="0"/>
          <c:showSerName val="0"/>
          <c:showPercent val="0"/>
          <c:showBubbleSize val="0"/>
        </c:dLbls>
        <c:gapWidth val="150"/>
        <c:axId val="599478656"/>
        <c:axId val="599480192"/>
      </c:barChart>
      <c:catAx>
        <c:axId val="599478656"/>
        <c:scaling>
          <c:orientation val="minMax"/>
        </c:scaling>
        <c:delete val="0"/>
        <c:axPos val="b"/>
        <c:numFmt formatCode="General" sourceLinked="0"/>
        <c:majorTickMark val="out"/>
        <c:minorTickMark val="none"/>
        <c:tickLblPos val="nextTo"/>
        <c:crossAx val="599480192"/>
        <c:crosses val="autoZero"/>
        <c:auto val="1"/>
        <c:lblAlgn val="ctr"/>
        <c:lblOffset val="100"/>
        <c:noMultiLvlLbl val="0"/>
      </c:catAx>
      <c:valAx>
        <c:axId val="599480192"/>
        <c:scaling>
          <c:orientation val="minMax"/>
        </c:scaling>
        <c:delete val="0"/>
        <c:axPos val="l"/>
        <c:majorGridlines/>
        <c:numFmt formatCode="#,##0" sourceLinked="1"/>
        <c:majorTickMark val="out"/>
        <c:minorTickMark val="none"/>
        <c:tickLblPos val="nextTo"/>
        <c:crossAx val="599478656"/>
        <c:crosses val="autoZero"/>
        <c:crossBetween val="between"/>
        <c:dispUnits>
          <c:builtInUnit val="millions"/>
          <c:dispUnitsLbl>
            <c:layout>
              <c:manualLayout>
                <c:xMode val="edge"/>
                <c:yMode val="edge"/>
                <c:x val="2.7777777777777853E-2"/>
                <c:y val="0.13425925925925927"/>
              </c:manualLayout>
            </c:layout>
            <c:tx>
              <c:rich>
                <a:bodyPr/>
                <a:lstStyle/>
                <a:p>
                  <a:pPr>
                    <a:defRPr b="0"/>
                  </a:pPr>
                  <a:r>
                    <a:rPr lang="en-ZA" b="0"/>
                    <a:t>R million</a:t>
                  </a:r>
                </a:p>
              </c:rich>
            </c:tx>
          </c:dispUnitsLbl>
        </c:dispUnits>
      </c:valAx>
    </c:plotArea>
    <c:legend>
      <c:legendPos val="b"/>
      <c:overlay val="0"/>
    </c:legend>
    <c:plotVisOnly val="1"/>
    <c:dispBlanksAs val="gap"/>
    <c:showDLblsOverMax val="0"/>
  </c:chart>
  <c:spPr>
    <a:solidFill>
      <a:schemeClr val="accent3">
        <a:lumMod val="20000"/>
        <a:lumOff val="80000"/>
      </a:schemeClr>
    </a:solidFill>
  </c:spPr>
  <c:txPr>
    <a:bodyPr/>
    <a:lstStyle/>
    <a:p>
      <a:pPr>
        <a:defRPr>
          <a:latin typeface="Arial" pitchFamily="34" charset="0"/>
          <a:cs typeface="Arial"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792201586214764E-2"/>
          <c:y val="0.12084499854184894"/>
          <c:w val="0.86624515006276392"/>
          <c:h val="0.70738407699037653"/>
        </c:manualLayout>
      </c:layout>
      <c:lineChart>
        <c:grouping val="standard"/>
        <c:varyColors val="0"/>
        <c:ser>
          <c:idx val="0"/>
          <c:order val="0"/>
          <c:tx>
            <c:strRef>
              <c:f>'Domestic GDP Q1 2017'!$L$5</c:f>
              <c:strCache>
                <c:ptCount val="1"/>
                <c:pt idx="0">
                  <c:v>Q/Q</c:v>
                </c:pt>
              </c:strCache>
            </c:strRef>
          </c:tx>
          <c:marker>
            <c:symbol val="none"/>
          </c:marker>
          <c:cat>
            <c:strRef>
              <c:f>'Domestic GDP Q1 2017'!$K$11:$K$22</c:f>
              <c:strCache>
                <c:ptCount val="12"/>
                <c:pt idx="0">
                  <c:v>Q2/14</c:v>
                </c:pt>
                <c:pt idx="1">
                  <c:v>Q3/14</c:v>
                </c:pt>
                <c:pt idx="2">
                  <c:v>Q4/14</c:v>
                </c:pt>
                <c:pt idx="3">
                  <c:v>Q1/15</c:v>
                </c:pt>
                <c:pt idx="4">
                  <c:v>Q2/15</c:v>
                </c:pt>
                <c:pt idx="5">
                  <c:v>Q3/15</c:v>
                </c:pt>
                <c:pt idx="6">
                  <c:v>Q4/15</c:v>
                </c:pt>
                <c:pt idx="7">
                  <c:v>Q1/16</c:v>
                </c:pt>
                <c:pt idx="8">
                  <c:v>Q2/16</c:v>
                </c:pt>
                <c:pt idx="9">
                  <c:v>Q3/16</c:v>
                </c:pt>
                <c:pt idx="10">
                  <c:v>Q4/16</c:v>
                </c:pt>
                <c:pt idx="11">
                  <c:v>Q1/17</c:v>
                </c:pt>
              </c:strCache>
            </c:strRef>
          </c:cat>
          <c:val>
            <c:numRef>
              <c:f>'Domestic GDP Q1 2017'!$L$11:$L$22</c:f>
              <c:numCache>
                <c:formatCode>0.0</c:formatCode>
                <c:ptCount val="12"/>
                <c:pt idx="0">
                  <c:v>5.8</c:v>
                </c:pt>
                <c:pt idx="1">
                  <c:v>10.4</c:v>
                </c:pt>
                <c:pt idx="2">
                  <c:v>8.8000000000000007</c:v>
                </c:pt>
                <c:pt idx="3">
                  <c:v>-11.3</c:v>
                </c:pt>
                <c:pt idx="4">
                  <c:v>-20.399999999999999</c:v>
                </c:pt>
                <c:pt idx="5">
                  <c:v>-11.8</c:v>
                </c:pt>
                <c:pt idx="6" formatCode="General">
                  <c:v>-6.7</c:v>
                </c:pt>
                <c:pt idx="7" formatCode="General">
                  <c:v>-8.6999999999999993</c:v>
                </c:pt>
                <c:pt idx="8">
                  <c:v>-7.8</c:v>
                </c:pt>
                <c:pt idx="9" formatCode="General">
                  <c:v>-0.2</c:v>
                </c:pt>
                <c:pt idx="10" formatCode="General">
                  <c:v>-0.1</c:v>
                </c:pt>
                <c:pt idx="11" formatCode="General">
                  <c:v>22.2</c:v>
                </c:pt>
              </c:numCache>
            </c:numRef>
          </c:val>
          <c:smooth val="0"/>
        </c:ser>
        <c:ser>
          <c:idx val="1"/>
          <c:order val="1"/>
          <c:tx>
            <c:strRef>
              <c:f>'Domestic GDP Q1 2017'!$M$5</c:f>
              <c:strCache>
                <c:ptCount val="1"/>
                <c:pt idx="0">
                  <c:v>Y/Y</c:v>
                </c:pt>
              </c:strCache>
            </c:strRef>
          </c:tx>
          <c:spPr>
            <a:ln>
              <a:solidFill>
                <a:srgbClr val="D8A851"/>
              </a:solidFill>
              <a:prstDash val="sysDash"/>
            </a:ln>
          </c:spPr>
          <c:marker>
            <c:symbol val="none"/>
          </c:marker>
          <c:cat>
            <c:strRef>
              <c:f>'Domestic GDP Q1 2017'!$K$11:$K$22</c:f>
              <c:strCache>
                <c:ptCount val="12"/>
                <c:pt idx="0">
                  <c:v>Q2/14</c:v>
                </c:pt>
                <c:pt idx="1">
                  <c:v>Q3/14</c:v>
                </c:pt>
                <c:pt idx="2">
                  <c:v>Q4/14</c:v>
                </c:pt>
                <c:pt idx="3">
                  <c:v>Q1/15</c:v>
                </c:pt>
                <c:pt idx="4">
                  <c:v>Q2/15</c:v>
                </c:pt>
                <c:pt idx="5">
                  <c:v>Q3/15</c:v>
                </c:pt>
                <c:pt idx="6">
                  <c:v>Q4/15</c:v>
                </c:pt>
                <c:pt idx="7">
                  <c:v>Q1/16</c:v>
                </c:pt>
                <c:pt idx="8">
                  <c:v>Q2/16</c:v>
                </c:pt>
                <c:pt idx="9">
                  <c:v>Q3/16</c:v>
                </c:pt>
                <c:pt idx="10">
                  <c:v>Q4/16</c:v>
                </c:pt>
                <c:pt idx="11">
                  <c:v>Q1/17</c:v>
                </c:pt>
              </c:strCache>
            </c:strRef>
          </c:cat>
          <c:val>
            <c:numRef>
              <c:f>'Domestic GDP Q1 2017'!$M$11:$M$22</c:f>
              <c:numCache>
                <c:formatCode>General</c:formatCode>
                <c:ptCount val="12"/>
                <c:pt idx="0">
                  <c:v>7.8</c:v>
                </c:pt>
                <c:pt idx="1">
                  <c:v>13</c:v>
                </c:pt>
                <c:pt idx="2">
                  <c:v>5.3</c:v>
                </c:pt>
                <c:pt idx="3">
                  <c:v>11.7</c:v>
                </c:pt>
                <c:pt idx="4">
                  <c:v>-6.7</c:v>
                </c:pt>
                <c:pt idx="5">
                  <c:v>-18.7</c:v>
                </c:pt>
                <c:pt idx="6">
                  <c:v>-5</c:v>
                </c:pt>
                <c:pt idx="7">
                  <c:v>-4.8</c:v>
                </c:pt>
                <c:pt idx="8" formatCode="0.0">
                  <c:v>-16</c:v>
                </c:pt>
                <c:pt idx="9">
                  <c:v>-5.2</c:v>
                </c:pt>
                <c:pt idx="10">
                  <c:v>2.4</c:v>
                </c:pt>
                <c:pt idx="11">
                  <c:v>10.3</c:v>
                </c:pt>
              </c:numCache>
            </c:numRef>
          </c:val>
          <c:smooth val="0"/>
        </c:ser>
        <c:dLbls>
          <c:showLegendKey val="0"/>
          <c:showVal val="0"/>
          <c:showCatName val="0"/>
          <c:showSerName val="0"/>
          <c:showPercent val="0"/>
          <c:showBubbleSize val="0"/>
        </c:dLbls>
        <c:marker val="1"/>
        <c:smooth val="0"/>
        <c:axId val="552303616"/>
        <c:axId val="552309504"/>
      </c:lineChart>
      <c:catAx>
        <c:axId val="552303616"/>
        <c:scaling>
          <c:orientation val="minMax"/>
        </c:scaling>
        <c:delete val="0"/>
        <c:axPos val="b"/>
        <c:majorTickMark val="out"/>
        <c:minorTickMark val="none"/>
        <c:tickLblPos val="nextTo"/>
        <c:crossAx val="552309504"/>
        <c:crosses val="autoZero"/>
        <c:auto val="1"/>
        <c:lblAlgn val="ctr"/>
        <c:lblOffset val="100"/>
        <c:noMultiLvlLbl val="0"/>
      </c:catAx>
      <c:valAx>
        <c:axId val="552309504"/>
        <c:scaling>
          <c:orientation val="minMax"/>
        </c:scaling>
        <c:delete val="0"/>
        <c:axPos val="l"/>
        <c:majorGridlines/>
        <c:title>
          <c:tx>
            <c:rich>
              <a:bodyPr rot="-5400000" vert="horz"/>
              <a:lstStyle/>
              <a:p>
                <a:pPr>
                  <a:defRPr/>
                </a:pPr>
                <a:r>
                  <a:rPr lang="en-US"/>
                  <a:t>Percentage</a:t>
                </a:r>
              </a:p>
            </c:rich>
          </c:tx>
          <c:overlay val="0"/>
        </c:title>
        <c:numFmt formatCode="0.0" sourceLinked="1"/>
        <c:majorTickMark val="out"/>
        <c:minorTickMark val="none"/>
        <c:tickLblPos val="nextTo"/>
        <c:crossAx val="552303616"/>
        <c:crosses val="autoZero"/>
        <c:crossBetween val="between"/>
      </c:valAx>
    </c:plotArea>
    <c:legend>
      <c:legendPos val="r"/>
      <c:layout>
        <c:manualLayout>
          <c:xMode val="edge"/>
          <c:yMode val="edge"/>
          <c:x val="0.34370471014492771"/>
          <c:y val="0.84220873432487675"/>
          <c:w val="0.33247282608695683"/>
          <c:h val="0.12113808690580348"/>
        </c:manualLayout>
      </c:layout>
      <c:overlay val="0"/>
    </c:legend>
    <c:plotVisOnly val="1"/>
    <c:dispBlanksAs val="gap"/>
    <c:showDLblsOverMax val="0"/>
  </c:chart>
  <c:spPr>
    <a:solidFill>
      <a:schemeClr val="accent3">
        <a:lumMod val="20000"/>
        <a:lumOff val="80000"/>
      </a:schemeClr>
    </a:solidFill>
  </c:spPr>
  <c:txPr>
    <a:bodyPr/>
    <a:lstStyle/>
    <a:p>
      <a:pPr>
        <a:defRPr sz="900">
          <a:latin typeface="Arial" pitchFamily="34" charset="0"/>
          <a:cs typeface="Arial"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404002350888345"/>
          <c:y val="6.0659813356663754E-2"/>
          <c:w val="0.79995363931386232"/>
          <c:h val="0.60465915718868579"/>
        </c:manualLayout>
      </c:layout>
      <c:lineChart>
        <c:grouping val="standard"/>
        <c:varyColors val="0"/>
        <c:ser>
          <c:idx val="0"/>
          <c:order val="0"/>
          <c:tx>
            <c:strRef>
              <c:f>'Domestic inflation Q1 2017'!$B$6</c:f>
              <c:strCache>
                <c:ptCount val="1"/>
                <c:pt idx="0">
                  <c:v>Headline CPI</c:v>
                </c:pt>
              </c:strCache>
            </c:strRef>
          </c:tx>
          <c:spPr>
            <a:ln>
              <a:solidFill>
                <a:srgbClr val="305123"/>
              </a:solidFill>
            </a:ln>
          </c:spPr>
          <c:marker>
            <c:symbol val="none"/>
          </c:marker>
          <c:cat>
            <c:strRef>
              <c:f>'Domestic inflation Q1 2017'!$A$34:$A$58</c:f>
              <c:strCache>
                <c:ptCount val="25"/>
                <c:pt idx="0">
                  <c:v>Apr'15</c:v>
                </c:pt>
                <c:pt idx="1">
                  <c:v>May'15</c:v>
                </c:pt>
                <c:pt idx="2">
                  <c:v>Jun'15</c:v>
                </c:pt>
                <c:pt idx="3">
                  <c:v>Jul'15</c:v>
                </c:pt>
                <c:pt idx="4">
                  <c:v>Aug'15</c:v>
                </c:pt>
                <c:pt idx="5">
                  <c:v>Sep'15</c:v>
                </c:pt>
                <c:pt idx="6">
                  <c:v>Oct 15</c:v>
                </c:pt>
                <c:pt idx="7">
                  <c:v>Nov' 15</c:v>
                </c:pt>
                <c:pt idx="8">
                  <c:v>Dec'15</c:v>
                </c:pt>
                <c:pt idx="9">
                  <c:v>Jan'16</c:v>
                </c:pt>
                <c:pt idx="10">
                  <c:v>Feb'16</c:v>
                </c:pt>
                <c:pt idx="11">
                  <c:v>mar'16</c:v>
                </c:pt>
                <c:pt idx="12">
                  <c:v>Apr'16</c:v>
                </c:pt>
                <c:pt idx="13">
                  <c:v>May'16</c:v>
                </c:pt>
                <c:pt idx="14">
                  <c:v>Jun'16</c:v>
                </c:pt>
                <c:pt idx="15">
                  <c:v>Jul'16</c:v>
                </c:pt>
                <c:pt idx="16">
                  <c:v>Aug'16</c:v>
                </c:pt>
                <c:pt idx="17">
                  <c:v>Sep'16</c:v>
                </c:pt>
                <c:pt idx="18">
                  <c:v>Oct'16</c:v>
                </c:pt>
                <c:pt idx="19">
                  <c:v>Nov'16</c:v>
                </c:pt>
                <c:pt idx="20">
                  <c:v>Dec'16</c:v>
                </c:pt>
                <c:pt idx="21">
                  <c:v>Jan'17</c:v>
                </c:pt>
                <c:pt idx="22">
                  <c:v>Feb'17</c:v>
                </c:pt>
                <c:pt idx="23">
                  <c:v>Mar'17</c:v>
                </c:pt>
                <c:pt idx="24">
                  <c:v>Apr'17</c:v>
                </c:pt>
              </c:strCache>
            </c:strRef>
          </c:cat>
          <c:val>
            <c:numRef>
              <c:f>'Domestic inflation Q1 2017'!$B$34:$B$58</c:f>
              <c:numCache>
                <c:formatCode>0.0</c:formatCode>
                <c:ptCount val="25"/>
                <c:pt idx="0">
                  <c:v>4.5</c:v>
                </c:pt>
                <c:pt idx="1">
                  <c:v>4.5999999999999996</c:v>
                </c:pt>
                <c:pt idx="2">
                  <c:v>4.7</c:v>
                </c:pt>
                <c:pt idx="3">
                  <c:v>5</c:v>
                </c:pt>
                <c:pt idx="4">
                  <c:v>4.5999999999999996</c:v>
                </c:pt>
                <c:pt idx="5">
                  <c:v>4.5999999999999996</c:v>
                </c:pt>
                <c:pt idx="6">
                  <c:v>4.7</c:v>
                </c:pt>
                <c:pt idx="7">
                  <c:v>4.8</c:v>
                </c:pt>
                <c:pt idx="8">
                  <c:v>5.2</c:v>
                </c:pt>
                <c:pt idx="9">
                  <c:v>6.2</c:v>
                </c:pt>
                <c:pt idx="10">
                  <c:v>7</c:v>
                </c:pt>
                <c:pt idx="11">
                  <c:v>6.3</c:v>
                </c:pt>
                <c:pt idx="12">
                  <c:v>6.2</c:v>
                </c:pt>
                <c:pt idx="13">
                  <c:v>6.1</c:v>
                </c:pt>
                <c:pt idx="14">
                  <c:v>6.3</c:v>
                </c:pt>
                <c:pt idx="15">
                  <c:v>6</c:v>
                </c:pt>
                <c:pt idx="16">
                  <c:v>5.9</c:v>
                </c:pt>
                <c:pt idx="17">
                  <c:v>6.1</c:v>
                </c:pt>
                <c:pt idx="18">
                  <c:v>6.4</c:v>
                </c:pt>
                <c:pt idx="19">
                  <c:v>6.6</c:v>
                </c:pt>
                <c:pt idx="20">
                  <c:v>6.8</c:v>
                </c:pt>
                <c:pt idx="21">
                  <c:v>6.6</c:v>
                </c:pt>
                <c:pt idx="22">
                  <c:v>6.3</c:v>
                </c:pt>
                <c:pt idx="23">
                  <c:v>6.1</c:v>
                </c:pt>
                <c:pt idx="24">
                  <c:v>5.3</c:v>
                </c:pt>
              </c:numCache>
            </c:numRef>
          </c:val>
          <c:smooth val="0"/>
        </c:ser>
        <c:ser>
          <c:idx val="1"/>
          <c:order val="1"/>
          <c:tx>
            <c:strRef>
              <c:f>'Domestic inflation Q1 2017'!$C$6</c:f>
              <c:strCache>
                <c:ptCount val="1"/>
                <c:pt idx="0">
                  <c:v>Food</c:v>
                </c:pt>
              </c:strCache>
            </c:strRef>
          </c:tx>
          <c:spPr>
            <a:ln>
              <a:solidFill>
                <a:srgbClr val="D8A851"/>
              </a:solidFill>
            </a:ln>
          </c:spPr>
          <c:marker>
            <c:symbol val="none"/>
          </c:marker>
          <c:cat>
            <c:strRef>
              <c:f>'Domestic inflation Q1 2017'!$A$34:$A$58</c:f>
              <c:strCache>
                <c:ptCount val="25"/>
                <c:pt idx="0">
                  <c:v>Apr'15</c:v>
                </c:pt>
                <c:pt idx="1">
                  <c:v>May'15</c:v>
                </c:pt>
                <c:pt idx="2">
                  <c:v>Jun'15</c:v>
                </c:pt>
                <c:pt idx="3">
                  <c:v>Jul'15</c:v>
                </c:pt>
                <c:pt idx="4">
                  <c:v>Aug'15</c:v>
                </c:pt>
                <c:pt idx="5">
                  <c:v>Sep'15</c:v>
                </c:pt>
                <c:pt idx="6">
                  <c:v>Oct 15</c:v>
                </c:pt>
                <c:pt idx="7">
                  <c:v>Nov' 15</c:v>
                </c:pt>
                <c:pt idx="8">
                  <c:v>Dec'15</c:v>
                </c:pt>
                <c:pt idx="9">
                  <c:v>Jan'16</c:v>
                </c:pt>
                <c:pt idx="10">
                  <c:v>Feb'16</c:v>
                </c:pt>
                <c:pt idx="11">
                  <c:v>mar'16</c:v>
                </c:pt>
                <c:pt idx="12">
                  <c:v>Apr'16</c:v>
                </c:pt>
                <c:pt idx="13">
                  <c:v>May'16</c:v>
                </c:pt>
                <c:pt idx="14">
                  <c:v>Jun'16</c:v>
                </c:pt>
                <c:pt idx="15">
                  <c:v>Jul'16</c:v>
                </c:pt>
                <c:pt idx="16">
                  <c:v>Aug'16</c:v>
                </c:pt>
                <c:pt idx="17">
                  <c:v>Sep'16</c:v>
                </c:pt>
                <c:pt idx="18">
                  <c:v>Oct'16</c:v>
                </c:pt>
                <c:pt idx="19">
                  <c:v>Nov'16</c:v>
                </c:pt>
                <c:pt idx="20">
                  <c:v>Dec'16</c:v>
                </c:pt>
                <c:pt idx="21">
                  <c:v>Jan'17</c:v>
                </c:pt>
                <c:pt idx="22">
                  <c:v>Feb'17</c:v>
                </c:pt>
                <c:pt idx="23">
                  <c:v>Mar'17</c:v>
                </c:pt>
                <c:pt idx="24">
                  <c:v>Apr'17</c:v>
                </c:pt>
              </c:strCache>
            </c:strRef>
          </c:cat>
          <c:val>
            <c:numRef>
              <c:f>'Domestic inflation Q1 2017'!$C$34:$C$58</c:f>
              <c:numCache>
                <c:formatCode>0.0</c:formatCode>
                <c:ptCount val="25"/>
                <c:pt idx="0">
                  <c:v>5</c:v>
                </c:pt>
                <c:pt idx="1">
                  <c:v>4.5999999999999996</c:v>
                </c:pt>
                <c:pt idx="2">
                  <c:v>4.3</c:v>
                </c:pt>
                <c:pt idx="3">
                  <c:v>4.4000000000000004</c:v>
                </c:pt>
                <c:pt idx="4">
                  <c:v>4.4000000000000004</c:v>
                </c:pt>
                <c:pt idx="5">
                  <c:v>4.4000000000000004</c:v>
                </c:pt>
                <c:pt idx="6">
                  <c:v>5</c:v>
                </c:pt>
                <c:pt idx="7">
                  <c:v>5.4</c:v>
                </c:pt>
                <c:pt idx="8">
                  <c:v>6.4</c:v>
                </c:pt>
                <c:pt idx="9">
                  <c:v>7.7</c:v>
                </c:pt>
                <c:pt idx="10">
                  <c:v>9.8000000000000007</c:v>
                </c:pt>
                <c:pt idx="11">
                  <c:v>10.9</c:v>
                </c:pt>
                <c:pt idx="12">
                  <c:v>9.7711267605633978</c:v>
                </c:pt>
                <c:pt idx="13">
                  <c:v>11.29597197898422</c:v>
                </c:pt>
                <c:pt idx="14">
                  <c:v>10.791993037423842</c:v>
                </c:pt>
                <c:pt idx="15">
                  <c:v>10.994764397905765</c:v>
                </c:pt>
                <c:pt idx="16">
                  <c:v>11.518324607329845</c:v>
                </c:pt>
                <c:pt idx="17">
                  <c:v>11.601731601731613</c:v>
                </c:pt>
                <c:pt idx="18">
                  <c:v>11.591695501730101</c:v>
                </c:pt>
                <c:pt idx="19">
                  <c:v>11.7</c:v>
                </c:pt>
                <c:pt idx="20">
                  <c:v>12</c:v>
                </c:pt>
                <c:pt idx="21">
                  <c:v>11.8</c:v>
                </c:pt>
                <c:pt idx="22">
                  <c:v>10</c:v>
                </c:pt>
                <c:pt idx="23">
                  <c:v>8.6999999999999993</c:v>
                </c:pt>
                <c:pt idx="24">
                  <c:v>6.6</c:v>
                </c:pt>
              </c:numCache>
            </c:numRef>
          </c:val>
          <c:smooth val="0"/>
        </c:ser>
        <c:dLbls>
          <c:showLegendKey val="0"/>
          <c:showVal val="0"/>
          <c:showCatName val="0"/>
          <c:showSerName val="0"/>
          <c:showPercent val="0"/>
          <c:showBubbleSize val="0"/>
        </c:dLbls>
        <c:marker val="1"/>
        <c:smooth val="0"/>
        <c:axId val="552306176"/>
        <c:axId val="552307712"/>
      </c:lineChart>
      <c:catAx>
        <c:axId val="552306176"/>
        <c:scaling>
          <c:orientation val="minMax"/>
        </c:scaling>
        <c:delete val="0"/>
        <c:axPos val="b"/>
        <c:majorTickMark val="out"/>
        <c:minorTickMark val="none"/>
        <c:tickLblPos val="nextTo"/>
        <c:txPr>
          <a:bodyPr/>
          <a:lstStyle/>
          <a:p>
            <a:pPr>
              <a:defRPr sz="900">
                <a:latin typeface="Arial" pitchFamily="34" charset="0"/>
                <a:cs typeface="Arial" pitchFamily="34" charset="0"/>
              </a:defRPr>
            </a:pPr>
            <a:endParaRPr lang="en-US"/>
          </a:p>
        </c:txPr>
        <c:crossAx val="552307712"/>
        <c:crosses val="autoZero"/>
        <c:auto val="1"/>
        <c:lblAlgn val="ctr"/>
        <c:lblOffset val="100"/>
        <c:noMultiLvlLbl val="0"/>
      </c:catAx>
      <c:valAx>
        <c:axId val="552307712"/>
        <c:scaling>
          <c:orientation val="minMax"/>
        </c:scaling>
        <c:delete val="0"/>
        <c:axPos val="l"/>
        <c:majorGridlines/>
        <c:title>
          <c:tx>
            <c:rich>
              <a:bodyPr rot="-5400000" vert="horz"/>
              <a:lstStyle/>
              <a:p>
                <a:pPr>
                  <a:defRPr/>
                </a:pPr>
                <a:r>
                  <a:rPr lang="en-US"/>
                  <a:t>Y/Y % </a:t>
                </a:r>
                <a:r>
                  <a:rPr lang="en-US" sz="900">
                    <a:latin typeface="Arial" pitchFamily="34" charset="0"/>
                    <a:cs typeface="Arial" pitchFamily="34" charset="0"/>
                  </a:rPr>
                  <a:t>Change</a:t>
                </a:r>
              </a:p>
            </c:rich>
          </c:tx>
          <c:overlay val="0"/>
        </c:title>
        <c:numFmt formatCode="0.0" sourceLinked="1"/>
        <c:majorTickMark val="out"/>
        <c:minorTickMark val="none"/>
        <c:tickLblPos val="nextTo"/>
        <c:txPr>
          <a:bodyPr/>
          <a:lstStyle/>
          <a:p>
            <a:pPr>
              <a:defRPr sz="900">
                <a:latin typeface="Arial" pitchFamily="34" charset="0"/>
                <a:cs typeface="Arial" pitchFamily="34" charset="0"/>
              </a:defRPr>
            </a:pPr>
            <a:endParaRPr lang="en-US"/>
          </a:p>
        </c:txPr>
        <c:crossAx val="552306176"/>
        <c:crosses val="autoZero"/>
        <c:crossBetween val="between"/>
      </c:valAx>
    </c:plotArea>
    <c:legend>
      <c:legendPos val="r"/>
      <c:layout>
        <c:manualLayout>
          <c:xMode val="edge"/>
          <c:yMode val="edge"/>
          <c:x val="0.31306203205823196"/>
          <c:y val="0.84683836395450574"/>
          <c:w val="0.39950171388520844"/>
          <c:h val="0.10601414406532519"/>
        </c:manualLayout>
      </c:layout>
      <c:overlay val="0"/>
      <c:txPr>
        <a:bodyPr/>
        <a:lstStyle/>
        <a:p>
          <a:pPr>
            <a:defRPr sz="900">
              <a:latin typeface="Arial" pitchFamily="34" charset="0"/>
              <a:cs typeface="Arial" pitchFamily="34" charset="0"/>
            </a:defRPr>
          </a:pPr>
          <a:endParaRPr lang="en-US"/>
        </a:p>
      </c:txPr>
    </c:legend>
    <c:plotVisOnly val="1"/>
    <c:dispBlanksAs val="gap"/>
    <c:showDLblsOverMax val="0"/>
  </c:chart>
  <c:spPr>
    <a:solidFill>
      <a:schemeClr val="accent3">
        <a:lumMod val="20000"/>
        <a:lumOff val="8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998872879129031E-2"/>
          <c:y val="5.0925925925925923E-2"/>
          <c:w val="0.80715863555729572"/>
          <c:h val="0.6563750714694111"/>
        </c:manualLayout>
      </c:layout>
      <c:lineChart>
        <c:grouping val="standard"/>
        <c:varyColors val="0"/>
        <c:ser>
          <c:idx val="0"/>
          <c:order val="0"/>
          <c:tx>
            <c:strRef>
              <c:f>'Domestic inflation Q1 2017'!$D$6</c:f>
              <c:strCache>
                <c:ptCount val="1"/>
                <c:pt idx="0">
                  <c:v>Bread &amp; cereals</c:v>
                </c:pt>
              </c:strCache>
            </c:strRef>
          </c:tx>
          <c:spPr>
            <a:ln>
              <a:solidFill>
                <a:schemeClr val="tx1">
                  <a:lumMod val="75000"/>
                  <a:lumOff val="25000"/>
                </a:schemeClr>
              </a:solidFill>
            </a:ln>
          </c:spPr>
          <c:marker>
            <c:symbol val="none"/>
          </c:marker>
          <c:cat>
            <c:strRef>
              <c:f>'Domestic inflation Q1 2017'!$A$34:$A$58</c:f>
              <c:strCache>
                <c:ptCount val="25"/>
                <c:pt idx="0">
                  <c:v>Apr'15</c:v>
                </c:pt>
                <c:pt idx="1">
                  <c:v>May'15</c:v>
                </c:pt>
                <c:pt idx="2">
                  <c:v>Jun'15</c:v>
                </c:pt>
                <c:pt idx="3">
                  <c:v>Jul'15</c:v>
                </c:pt>
                <c:pt idx="4">
                  <c:v>Aug'15</c:v>
                </c:pt>
                <c:pt idx="5">
                  <c:v>Sep'15</c:v>
                </c:pt>
                <c:pt idx="6">
                  <c:v>Oct 15</c:v>
                </c:pt>
                <c:pt idx="7">
                  <c:v>Nov' 15</c:v>
                </c:pt>
                <c:pt idx="8">
                  <c:v>Dec'15</c:v>
                </c:pt>
                <c:pt idx="9">
                  <c:v>Jan'16</c:v>
                </c:pt>
                <c:pt idx="10">
                  <c:v>Feb'16</c:v>
                </c:pt>
                <c:pt idx="11">
                  <c:v>mar'16</c:v>
                </c:pt>
                <c:pt idx="12">
                  <c:v>Apr'16</c:v>
                </c:pt>
                <c:pt idx="13">
                  <c:v>May'16</c:v>
                </c:pt>
                <c:pt idx="14">
                  <c:v>Jun'16</c:v>
                </c:pt>
                <c:pt idx="15">
                  <c:v>Jul'16</c:v>
                </c:pt>
                <c:pt idx="16">
                  <c:v>Aug'16</c:v>
                </c:pt>
                <c:pt idx="17">
                  <c:v>Sep'16</c:v>
                </c:pt>
                <c:pt idx="18">
                  <c:v>Oct'16</c:v>
                </c:pt>
                <c:pt idx="19">
                  <c:v>Nov'16</c:v>
                </c:pt>
                <c:pt idx="20">
                  <c:v>Dec'16</c:v>
                </c:pt>
                <c:pt idx="21">
                  <c:v>Jan'17</c:v>
                </c:pt>
                <c:pt idx="22">
                  <c:v>Feb'17</c:v>
                </c:pt>
                <c:pt idx="23">
                  <c:v>Mar'17</c:v>
                </c:pt>
                <c:pt idx="24">
                  <c:v>Apr'17</c:v>
                </c:pt>
              </c:strCache>
            </c:strRef>
          </c:cat>
          <c:val>
            <c:numRef>
              <c:f>'Domestic inflation Q1 2017'!$D$34:$D$58</c:f>
              <c:numCache>
                <c:formatCode>0.0</c:formatCode>
                <c:ptCount val="25"/>
                <c:pt idx="0">
                  <c:v>2.4</c:v>
                </c:pt>
                <c:pt idx="1">
                  <c:v>3.8</c:v>
                </c:pt>
                <c:pt idx="2">
                  <c:v>3.2</c:v>
                </c:pt>
                <c:pt idx="3">
                  <c:v>4.8</c:v>
                </c:pt>
                <c:pt idx="4">
                  <c:v>5.9</c:v>
                </c:pt>
                <c:pt idx="5">
                  <c:v>6.4</c:v>
                </c:pt>
                <c:pt idx="6">
                  <c:v>7.4</c:v>
                </c:pt>
                <c:pt idx="7">
                  <c:v>8.3000000000000007</c:v>
                </c:pt>
                <c:pt idx="8">
                  <c:v>8.4</c:v>
                </c:pt>
                <c:pt idx="9">
                  <c:v>10</c:v>
                </c:pt>
                <c:pt idx="10">
                  <c:v>12.7</c:v>
                </c:pt>
                <c:pt idx="11">
                  <c:v>15.9</c:v>
                </c:pt>
                <c:pt idx="12">
                  <c:v>13.33333333333333</c:v>
                </c:pt>
                <c:pt idx="13">
                  <c:v>14.867256637168147</c:v>
                </c:pt>
                <c:pt idx="14">
                  <c:v>14.509122502172044</c:v>
                </c:pt>
                <c:pt idx="15">
                  <c:v>14.795474325500436</c:v>
                </c:pt>
                <c:pt idx="16">
                  <c:v>15.064935064935071</c:v>
                </c:pt>
                <c:pt idx="17">
                  <c:v>15.996578272027362</c:v>
                </c:pt>
                <c:pt idx="18">
                  <c:v>16.567036720751503</c:v>
                </c:pt>
                <c:pt idx="19">
                  <c:v>17</c:v>
                </c:pt>
                <c:pt idx="20">
                  <c:v>17.399999999999999</c:v>
                </c:pt>
                <c:pt idx="21">
                  <c:v>17</c:v>
                </c:pt>
                <c:pt idx="22">
                  <c:v>12.8</c:v>
                </c:pt>
                <c:pt idx="23">
                  <c:v>8.5</c:v>
                </c:pt>
                <c:pt idx="24">
                  <c:v>5.4</c:v>
                </c:pt>
              </c:numCache>
            </c:numRef>
          </c:val>
          <c:smooth val="0"/>
        </c:ser>
        <c:ser>
          <c:idx val="1"/>
          <c:order val="1"/>
          <c:tx>
            <c:strRef>
              <c:f>'Domestic inflation Q1 2017'!$E$6</c:f>
              <c:strCache>
                <c:ptCount val="1"/>
                <c:pt idx="0">
                  <c:v>Meat</c:v>
                </c:pt>
              </c:strCache>
            </c:strRef>
          </c:tx>
          <c:marker>
            <c:symbol val="none"/>
          </c:marker>
          <c:cat>
            <c:strRef>
              <c:f>'Domestic inflation Q1 2017'!$A$34:$A$58</c:f>
              <c:strCache>
                <c:ptCount val="25"/>
                <c:pt idx="0">
                  <c:v>Apr'15</c:v>
                </c:pt>
                <c:pt idx="1">
                  <c:v>May'15</c:v>
                </c:pt>
                <c:pt idx="2">
                  <c:v>Jun'15</c:v>
                </c:pt>
                <c:pt idx="3">
                  <c:v>Jul'15</c:v>
                </c:pt>
                <c:pt idx="4">
                  <c:v>Aug'15</c:v>
                </c:pt>
                <c:pt idx="5">
                  <c:v>Sep'15</c:v>
                </c:pt>
                <c:pt idx="6">
                  <c:v>Oct 15</c:v>
                </c:pt>
                <c:pt idx="7">
                  <c:v>Nov' 15</c:v>
                </c:pt>
                <c:pt idx="8">
                  <c:v>Dec'15</c:v>
                </c:pt>
                <c:pt idx="9">
                  <c:v>Jan'16</c:v>
                </c:pt>
                <c:pt idx="10">
                  <c:v>Feb'16</c:v>
                </c:pt>
                <c:pt idx="11">
                  <c:v>mar'16</c:v>
                </c:pt>
                <c:pt idx="12">
                  <c:v>Apr'16</c:v>
                </c:pt>
                <c:pt idx="13">
                  <c:v>May'16</c:v>
                </c:pt>
                <c:pt idx="14">
                  <c:v>Jun'16</c:v>
                </c:pt>
                <c:pt idx="15">
                  <c:v>Jul'16</c:v>
                </c:pt>
                <c:pt idx="16">
                  <c:v>Aug'16</c:v>
                </c:pt>
                <c:pt idx="17">
                  <c:v>Sep'16</c:v>
                </c:pt>
                <c:pt idx="18">
                  <c:v>Oct'16</c:v>
                </c:pt>
                <c:pt idx="19">
                  <c:v>Nov'16</c:v>
                </c:pt>
                <c:pt idx="20">
                  <c:v>Dec'16</c:v>
                </c:pt>
                <c:pt idx="21">
                  <c:v>Jan'17</c:v>
                </c:pt>
                <c:pt idx="22">
                  <c:v>Feb'17</c:v>
                </c:pt>
                <c:pt idx="23">
                  <c:v>Mar'17</c:v>
                </c:pt>
                <c:pt idx="24">
                  <c:v>Apr'17</c:v>
                </c:pt>
              </c:strCache>
            </c:strRef>
          </c:cat>
          <c:val>
            <c:numRef>
              <c:f>'Domestic inflation Q1 2017'!$E$34:$E$58</c:f>
              <c:numCache>
                <c:formatCode>0.0</c:formatCode>
                <c:ptCount val="25"/>
                <c:pt idx="0">
                  <c:v>6.4</c:v>
                </c:pt>
                <c:pt idx="1">
                  <c:v>5.3</c:v>
                </c:pt>
                <c:pt idx="2">
                  <c:v>5.4</c:v>
                </c:pt>
                <c:pt idx="3">
                  <c:v>5.2</c:v>
                </c:pt>
                <c:pt idx="4">
                  <c:v>5</c:v>
                </c:pt>
                <c:pt idx="5">
                  <c:v>5</c:v>
                </c:pt>
                <c:pt idx="6">
                  <c:v>4.5999999999999996</c:v>
                </c:pt>
                <c:pt idx="7">
                  <c:v>4.8</c:v>
                </c:pt>
                <c:pt idx="8">
                  <c:v>4.8</c:v>
                </c:pt>
                <c:pt idx="9">
                  <c:v>4.5</c:v>
                </c:pt>
                <c:pt idx="10">
                  <c:v>5.4</c:v>
                </c:pt>
                <c:pt idx="11">
                  <c:v>6.3</c:v>
                </c:pt>
                <c:pt idx="12">
                  <c:v>6.1041292639138156</c:v>
                </c:pt>
                <c:pt idx="13">
                  <c:v>6.2724014336917655</c:v>
                </c:pt>
                <c:pt idx="14">
                  <c:v>6.0035842293906905</c:v>
                </c:pt>
                <c:pt idx="15">
                  <c:v>5.908683974932849</c:v>
                </c:pt>
                <c:pt idx="16">
                  <c:v>6.3848920863309289</c:v>
                </c:pt>
                <c:pt idx="17">
                  <c:v>5.3523639607493401</c:v>
                </c:pt>
                <c:pt idx="18">
                  <c:v>5.0044682752457437</c:v>
                </c:pt>
                <c:pt idx="19">
                  <c:v>6</c:v>
                </c:pt>
                <c:pt idx="20">
                  <c:v>7.6</c:v>
                </c:pt>
                <c:pt idx="21">
                  <c:v>8.9</c:v>
                </c:pt>
                <c:pt idx="22">
                  <c:v>9.9</c:v>
                </c:pt>
                <c:pt idx="23">
                  <c:v>9.9</c:v>
                </c:pt>
                <c:pt idx="24">
                  <c:v>10.6</c:v>
                </c:pt>
              </c:numCache>
            </c:numRef>
          </c:val>
          <c:smooth val="0"/>
        </c:ser>
        <c:ser>
          <c:idx val="2"/>
          <c:order val="2"/>
          <c:tx>
            <c:strRef>
              <c:f>'Domestic inflation Q1 2017'!$F$6</c:f>
              <c:strCache>
                <c:ptCount val="1"/>
                <c:pt idx="0">
                  <c:v>Fish</c:v>
                </c:pt>
              </c:strCache>
            </c:strRef>
          </c:tx>
          <c:marker>
            <c:symbol val="none"/>
          </c:marker>
          <c:cat>
            <c:strRef>
              <c:f>'Domestic inflation Q1 2017'!$A$34:$A$58</c:f>
              <c:strCache>
                <c:ptCount val="25"/>
                <c:pt idx="0">
                  <c:v>Apr'15</c:v>
                </c:pt>
                <c:pt idx="1">
                  <c:v>May'15</c:v>
                </c:pt>
                <c:pt idx="2">
                  <c:v>Jun'15</c:v>
                </c:pt>
                <c:pt idx="3">
                  <c:v>Jul'15</c:v>
                </c:pt>
                <c:pt idx="4">
                  <c:v>Aug'15</c:v>
                </c:pt>
                <c:pt idx="5">
                  <c:v>Sep'15</c:v>
                </c:pt>
                <c:pt idx="6">
                  <c:v>Oct 15</c:v>
                </c:pt>
                <c:pt idx="7">
                  <c:v>Nov' 15</c:v>
                </c:pt>
                <c:pt idx="8">
                  <c:v>Dec'15</c:v>
                </c:pt>
                <c:pt idx="9">
                  <c:v>Jan'16</c:v>
                </c:pt>
                <c:pt idx="10">
                  <c:v>Feb'16</c:v>
                </c:pt>
                <c:pt idx="11">
                  <c:v>mar'16</c:v>
                </c:pt>
                <c:pt idx="12">
                  <c:v>Apr'16</c:v>
                </c:pt>
                <c:pt idx="13">
                  <c:v>May'16</c:v>
                </c:pt>
                <c:pt idx="14">
                  <c:v>Jun'16</c:v>
                </c:pt>
                <c:pt idx="15">
                  <c:v>Jul'16</c:v>
                </c:pt>
                <c:pt idx="16">
                  <c:v>Aug'16</c:v>
                </c:pt>
                <c:pt idx="17">
                  <c:v>Sep'16</c:v>
                </c:pt>
                <c:pt idx="18">
                  <c:v>Oct'16</c:v>
                </c:pt>
                <c:pt idx="19">
                  <c:v>Nov'16</c:v>
                </c:pt>
                <c:pt idx="20">
                  <c:v>Dec'16</c:v>
                </c:pt>
                <c:pt idx="21">
                  <c:v>Jan'17</c:v>
                </c:pt>
                <c:pt idx="22">
                  <c:v>Feb'17</c:v>
                </c:pt>
                <c:pt idx="23">
                  <c:v>Mar'17</c:v>
                </c:pt>
                <c:pt idx="24">
                  <c:v>Apr'17</c:v>
                </c:pt>
              </c:strCache>
            </c:strRef>
          </c:cat>
          <c:val>
            <c:numRef>
              <c:f>'Domestic inflation Q1 2017'!$F$34:$F$58</c:f>
              <c:numCache>
                <c:formatCode>0.0</c:formatCode>
                <c:ptCount val="25"/>
                <c:pt idx="0">
                  <c:v>5.7</c:v>
                </c:pt>
                <c:pt idx="1">
                  <c:v>7.6</c:v>
                </c:pt>
                <c:pt idx="2">
                  <c:v>7.1</c:v>
                </c:pt>
                <c:pt idx="3">
                  <c:v>7.5</c:v>
                </c:pt>
                <c:pt idx="4">
                  <c:v>8.3000000000000007</c:v>
                </c:pt>
                <c:pt idx="5">
                  <c:v>7.1</c:v>
                </c:pt>
                <c:pt idx="6">
                  <c:v>8.3000000000000007</c:v>
                </c:pt>
                <c:pt idx="7">
                  <c:v>6.9</c:v>
                </c:pt>
                <c:pt idx="8">
                  <c:v>7.4</c:v>
                </c:pt>
                <c:pt idx="9">
                  <c:v>8.5</c:v>
                </c:pt>
                <c:pt idx="10">
                  <c:v>6.3</c:v>
                </c:pt>
                <c:pt idx="11">
                  <c:v>7.2</c:v>
                </c:pt>
                <c:pt idx="12">
                  <c:v>6.3559322033898358</c:v>
                </c:pt>
                <c:pt idx="13">
                  <c:v>7.2635135135135087</c:v>
                </c:pt>
                <c:pt idx="14">
                  <c:v>6.2551440329218</c:v>
                </c:pt>
                <c:pt idx="15">
                  <c:v>7.5082508250825075</c:v>
                </c:pt>
                <c:pt idx="16">
                  <c:v>9.046052631578938</c:v>
                </c:pt>
                <c:pt idx="17">
                  <c:v>9.5823095823095894</c:v>
                </c:pt>
                <c:pt idx="18">
                  <c:v>9.3061224489795933</c:v>
                </c:pt>
                <c:pt idx="19">
                  <c:v>10.6</c:v>
                </c:pt>
                <c:pt idx="20">
                  <c:v>10.7</c:v>
                </c:pt>
                <c:pt idx="21">
                  <c:v>11.2</c:v>
                </c:pt>
                <c:pt idx="22">
                  <c:v>10.7</c:v>
                </c:pt>
                <c:pt idx="23">
                  <c:v>10.5</c:v>
                </c:pt>
                <c:pt idx="24">
                  <c:v>9.6999999999999993</c:v>
                </c:pt>
              </c:numCache>
            </c:numRef>
          </c:val>
          <c:smooth val="0"/>
        </c:ser>
        <c:ser>
          <c:idx val="3"/>
          <c:order val="3"/>
          <c:tx>
            <c:strRef>
              <c:f>'Domestic inflation Q1 2017'!$G$6</c:f>
              <c:strCache>
                <c:ptCount val="1"/>
                <c:pt idx="0">
                  <c:v>Milk, eggs &amp; cheese</c:v>
                </c:pt>
              </c:strCache>
            </c:strRef>
          </c:tx>
          <c:spPr>
            <a:ln>
              <a:solidFill>
                <a:srgbClr val="FF0000"/>
              </a:solidFill>
            </a:ln>
          </c:spPr>
          <c:marker>
            <c:symbol val="none"/>
          </c:marker>
          <c:cat>
            <c:strRef>
              <c:f>'Domestic inflation Q1 2017'!$A$34:$A$58</c:f>
              <c:strCache>
                <c:ptCount val="25"/>
                <c:pt idx="0">
                  <c:v>Apr'15</c:v>
                </c:pt>
                <c:pt idx="1">
                  <c:v>May'15</c:v>
                </c:pt>
                <c:pt idx="2">
                  <c:v>Jun'15</c:v>
                </c:pt>
                <c:pt idx="3">
                  <c:v>Jul'15</c:v>
                </c:pt>
                <c:pt idx="4">
                  <c:v>Aug'15</c:v>
                </c:pt>
                <c:pt idx="5">
                  <c:v>Sep'15</c:v>
                </c:pt>
                <c:pt idx="6">
                  <c:v>Oct 15</c:v>
                </c:pt>
                <c:pt idx="7">
                  <c:v>Nov' 15</c:v>
                </c:pt>
                <c:pt idx="8">
                  <c:v>Dec'15</c:v>
                </c:pt>
                <c:pt idx="9">
                  <c:v>Jan'16</c:v>
                </c:pt>
                <c:pt idx="10">
                  <c:v>Feb'16</c:v>
                </c:pt>
                <c:pt idx="11">
                  <c:v>mar'16</c:v>
                </c:pt>
                <c:pt idx="12">
                  <c:v>Apr'16</c:v>
                </c:pt>
                <c:pt idx="13">
                  <c:v>May'16</c:v>
                </c:pt>
                <c:pt idx="14">
                  <c:v>Jun'16</c:v>
                </c:pt>
                <c:pt idx="15">
                  <c:v>Jul'16</c:v>
                </c:pt>
                <c:pt idx="16">
                  <c:v>Aug'16</c:v>
                </c:pt>
                <c:pt idx="17">
                  <c:v>Sep'16</c:v>
                </c:pt>
                <c:pt idx="18">
                  <c:v>Oct'16</c:v>
                </c:pt>
                <c:pt idx="19">
                  <c:v>Nov'16</c:v>
                </c:pt>
                <c:pt idx="20">
                  <c:v>Dec'16</c:v>
                </c:pt>
                <c:pt idx="21">
                  <c:v>Jan'17</c:v>
                </c:pt>
                <c:pt idx="22">
                  <c:v>Feb'17</c:v>
                </c:pt>
                <c:pt idx="23">
                  <c:v>Mar'17</c:v>
                </c:pt>
                <c:pt idx="24">
                  <c:v>Apr'17</c:v>
                </c:pt>
              </c:strCache>
            </c:strRef>
          </c:cat>
          <c:val>
            <c:numRef>
              <c:f>'Domestic inflation Q1 2017'!$G$34:$G$58</c:f>
              <c:numCache>
                <c:formatCode>0.0</c:formatCode>
                <c:ptCount val="25"/>
                <c:pt idx="0">
                  <c:v>8.4</c:v>
                </c:pt>
                <c:pt idx="1">
                  <c:v>7.7</c:v>
                </c:pt>
                <c:pt idx="2">
                  <c:v>6.9</c:v>
                </c:pt>
                <c:pt idx="3">
                  <c:v>5.0999999999999996</c:v>
                </c:pt>
                <c:pt idx="4">
                  <c:v>3.8</c:v>
                </c:pt>
                <c:pt idx="5">
                  <c:v>2.9</c:v>
                </c:pt>
                <c:pt idx="6">
                  <c:v>2.7</c:v>
                </c:pt>
                <c:pt idx="7">
                  <c:v>1.9</c:v>
                </c:pt>
                <c:pt idx="8">
                  <c:v>1.8</c:v>
                </c:pt>
                <c:pt idx="9">
                  <c:v>2.1</c:v>
                </c:pt>
                <c:pt idx="10">
                  <c:v>1.5</c:v>
                </c:pt>
                <c:pt idx="11">
                  <c:v>3.2</c:v>
                </c:pt>
                <c:pt idx="12">
                  <c:v>3.6213991769547427</c:v>
                </c:pt>
                <c:pt idx="13">
                  <c:v>5.237315875613735</c:v>
                </c:pt>
                <c:pt idx="14">
                  <c:v>6.6666666666666652</c:v>
                </c:pt>
                <c:pt idx="15">
                  <c:v>8.1980519480519654</c:v>
                </c:pt>
                <c:pt idx="16">
                  <c:v>9.3344155844155665</c:v>
                </c:pt>
                <c:pt idx="17">
                  <c:v>9.6434359805510628</c:v>
                </c:pt>
                <c:pt idx="18">
                  <c:v>9.8785425101214575</c:v>
                </c:pt>
                <c:pt idx="19">
                  <c:v>10.1</c:v>
                </c:pt>
                <c:pt idx="20">
                  <c:v>11</c:v>
                </c:pt>
                <c:pt idx="21">
                  <c:v>11.1</c:v>
                </c:pt>
                <c:pt idx="22">
                  <c:v>10.8</c:v>
                </c:pt>
                <c:pt idx="23">
                  <c:v>9.1999999999999993</c:v>
                </c:pt>
                <c:pt idx="24">
                  <c:v>6.1</c:v>
                </c:pt>
              </c:numCache>
            </c:numRef>
          </c:val>
          <c:smooth val="0"/>
        </c:ser>
        <c:ser>
          <c:idx val="4"/>
          <c:order val="4"/>
          <c:tx>
            <c:strRef>
              <c:f>'Domestic inflation Q1 2017'!$H$6</c:f>
              <c:strCache>
                <c:ptCount val="1"/>
                <c:pt idx="0">
                  <c:v>Oils &amp; fats</c:v>
                </c:pt>
              </c:strCache>
            </c:strRef>
          </c:tx>
          <c:spPr>
            <a:ln>
              <a:solidFill>
                <a:schemeClr val="accent6">
                  <a:lumMod val="60000"/>
                  <a:lumOff val="40000"/>
                </a:schemeClr>
              </a:solidFill>
            </a:ln>
          </c:spPr>
          <c:marker>
            <c:symbol val="none"/>
          </c:marker>
          <c:cat>
            <c:strRef>
              <c:f>'Domestic inflation Q1 2017'!$A$34:$A$58</c:f>
              <c:strCache>
                <c:ptCount val="25"/>
                <c:pt idx="0">
                  <c:v>Apr'15</c:v>
                </c:pt>
                <c:pt idx="1">
                  <c:v>May'15</c:v>
                </c:pt>
                <c:pt idx="2">
                  <c:v>Jun'15</c:v>
                </c:pt>
                <c:pt idx="3">
                  <c:v>Jul'15</c:v>
                </c:pt>
                <c:pt idx="4">
                  <c:v>Aug'15</c:v>
                </c:pt>
                <c:pt idx="5">
                  <c:v>Sep'15</c:v>
                </c:pt>
                <c:pt idx="6">
                  <c:v>Oct 15</c:v>
                </c:pt>
                <c:pt idx="7">
                  <c:v>Nov' 15</c:v>
                </c:pt>
                <c:pt idx="8">
                  <c:v>Dec'15</c:v>
                </c:pt>
                <c:pt idx="9">
                  <c:v>Jan'16</c:v>
                </c:pt>
                <c:pt idx="10">
                  <c:v>Feb'16</c:v>
                </c:pt>
                <c:pt idx="11">
                  <c:v>mar'16</c:v>
                </c:pt>
                <c:pt idx="12">
                  <c:v>Apr'16</c:v>
                </c:pt>
                <c:pt idx="13">
                  <c:v>May'16</c:v>
                </c:pt>
                <c:pt idx="14">
                  <c:v>Jun'16</c:v>
                </c:pt>
                <c:pt idx="15">
                  <c:v>Jul'16</c:v>
                </c:pt>
                <c:pt idx="16">
                  <c:v>Aug'16</c:v>
                </c:pt>
                <c:pt idx="17">
                  <c:v>Sep'16</c:v>
                </c:pt>
                <c:pt idx="18">
                  <c:v>Oct'16</c:v>
                </c:pt>
                <c:pt idx="19">
                  <c:v>Nov'16</c:v>
                </c:pt>
                <c:pt idx="20">
                  <c:v>Dec'16</c:v>
                </c:pt>
                <c:pt idx="21">
                  <c:v>Jan'17</c:v>
                </c:pt>
                <c:pt idx="22">
                  <c:v>Feb'17</c:v>
                </c:pt>
                <c:pt idx="23">
                  <c:v>Mar'17</c:v>
                </c:pt>
                <c:pt idx="24">
                  <c:v>Apr'17</c:v>
                </c:pt>
              </c:strCache>
            </c:strRef>
          </c:cat>
          <c:val>
            <c:numRef>
              <c:f>'Domestic inflation Q1 2017'!$H$34:$H$58</c:f>
              <c:numCache>
                <c:formatCode>0.0</c:formatCode>
                <c:ptCount val="25"/>
                <c:pt idx="0">
                  <c:v>-2.2000000000000002</c:v>
                </c:pt>
                <c:pt idx="1">
                  <c:v>0.6</c:v>
                </c:pt>
                <c:pt idx="2">
                  <c:v>1</c:v>
                </c:pt>
                <c:pt idx="3">
                  <c:v>2.6</c:v>
                </c:pt>
                <c:pt idx="4">
                  <c:v>5.7</c:v>
                </c:pt>
                <c:pt idx="5">
                  <c:v>7</c:v>
                </c:pt>
                <c:pt idx="6">
                  <c:v>11</c:v>
                </c:pt>
                <c:pt idx="7">
                  <c:v>12.2</c:v>
                </c:pt>
                <c:pt idx="8">
                  <c:v>15.2</c:v>
                </c:pt>
                <c:pt idx="9">
                  <c:v>18.899999999999999</c:v>
                </c:pt>
                <c:pt idx="10">
                  <c:v>19.899999999999999</c:v>
                </c:pt>
                <c:pt idx="11">
                  <c:v>20.3</c:v>
                </c:pt>
                <c:pt idx="12">
                  <c:v>18.078020932445284</c:v>
                </c:pt>
                <c:pt idx="13">
                  <c:v>19.519230769230766</c:v>
                </c:pt>
                <c:pt idx="14">
                  <c:v>19.676806083650188</c:v>
                </c:pt>
                <c:pt idx="15">
                  <c:v>18.957345971563978</c:v>
                </c:pt>
                <c:pt idx="16">
                  <c:v>20.245979186376537</c:v>
                </c:pt>
                <c:pt idx="17">
                  <c:v>17.539026629935716</c:v>
                </c:pt>
                <c:pt idx="18">
                  <c:v>15.5045871559633</c:v>
                </c:pt>
                <c:pt idx="19">
                  <c:v>12</c:v>
                </c:pt>
                <c:pt idx="20">
                  <c:v>9.6999999999999993</c:v>
                </c:pt>
                <c:pt idx="21">
                  <c:v>7.2</c:v>
                </c:pt>
                <c:pt idx="22">
                  <c:v>4.9000000000000004</c:v>
                </c:pt>
                <c:pt idx="23">
                  <c:v>1.9</c:v>
                </c:pt>
                <c:pt idx="24">
                  <c:v>-0.1</c:v>
                </c:pt>
              </c:numCache>
            </c:numRef>
          </c:val>
          <c:smooth val="0"/>
        </c:ser>
        <c:ser>
          <c:idx val="5"/>
          <c:order val="5"/>
          <c:tx>
            <c:strRef>
              <c:f>'Domestic inflation Q1 2017'!$I$6</c:f>
              <c:strCache>
                <c:ptCount val="1"/>
                <c:pt idx="0">
                  <c:v>Fruit</c:v>
                </c:pt>
              </c:strCache>
            </c:strRef>
          </c:tx>
          <c:spPr>
            <a:ln>
              <a:solidFill>
                <a:schemeClr val="accent5">
                  <a:lumMod val="60000"/>
                  <a:lumOff val="40000"/>
                </a:schemeClr>
              </a:solidFill>
            </a:ln>
          </c:spPr>
          <c:marker>
            <c:symbol val="none"/>
          </c:marker>
          <c:cat>
            <c:strRef>
              <c:f>'Domestic inflation Q1 2017'!$A$34:$A$58</c:f>
              <c:strCache>
                <c:ptCount val="25"/>
                <c:pt idx="0">
                  <c:v>Apr'15</c:v>
                </c:pt>
                <c:pt idx="1">
                  <c:v>May'15</c:v>
                </c:pt>
                <c:pt idx="2">
                  <c:v>Jun'15</c:v>
                </c:pt>
                <c:pt idx="3">
                  <c:v>Jul'15</c:v>
                </c:pt>
                <c:pt idx="4">
                  <c:v>Aug'15</c:v>
                </c:pt>
                <c:pt idx="5">
                  <c:v>Sep'15</c:v>
                </c:pt>
                <c:pt idx="6">
                  <c:v>Oct 15</c:v>
                </c:pt>
                <c:pt idx="7">
                  <c:v>Nov' 15</c:v>
                </c:pt>
                <c:pt idx="8">
                  <c:v>Dec'15</c:v>
                </c:pt>
                <c:pt idx="9">
                  <c:v>Jan'16</c:v>
                </c:pt>
                <c:pt idx="10">
                  <c:v>Feb'16</c:v>
                </c:pt>
                <c:pt idx="11">
                  <c:v>mar'16</c:v>
                </c:pt>
                <c:pt idx="12">
                  <c:v>Apr'16</c:v>
                </c:pt>
                <c:pt idx="13">
                  <c:v>May'16</c:v>
                </c:pt>
                <c:pt idx="14">
                  <c:v>Jun'16</c:v>
                </c:pt>
                <c:pt idx="15">
                  <c:v>Jul'16</c:v>
                </c:pt>
                <c:pt idx="16">
                  <c:v>Aug'16</c:v>
                </c:pt>
                <c:pt idx="17">
                  <c:v>Sep'16</c:v>
                </c:pt>
                <c:pt idx="18">
                  <c:v>Oct'16</c:v>
                </c:pt>
                <c:pt idx="19">
                  <c:v>Nov'16</c:v>
                </c:pt>
                <c:pt idx="20">
                  <c:v>Dec'16</c:v>
                </c:pt>
                <c:pt idx="21">
                  <c:v>Jan'17</c:v>
                </c:pt>
                <c:pt idx="22">
                  <c:v>Feb'17</c:v>
                </c:pt>
                <c:pt idx="23">
                  <c:v>Mar'17</c:v>
                </c:pt>
                <c:pt idx="24">
                  <c:v>Apr'17</c:v>
                </c:pt>
              </c:strCache>
            </c:strRef>
          </c:cat>
          <c:val>
            <c:numRef>
              <c:f>'Domestic inflation Q1 2017'!$I$34:$I$58</c:f>
              <c:numCache>
                <c:formatCode>0.0</c:formatCode>
                <c:ptCount val="25"/>
                <c:pt idx="0">
                  <c:v>7.7</c:v>
                </c:pt>
                <c:pt idx="1">
                  <c:v>3.1</c:v>
                </c:pt>
                <c:pt idx="2">
                  <c:v>4.2</c:v>
                </c:pt>
                <c:pt idx="3">
                  <c:v>2.6</c:v>
                </c:pt>
                <c:pt idx="4">
                  <c:v>4.3</c:v>
                </c:pt>
                <c:pt idx="5">
                  <c:v>1.4</c:v>
                </c:pt>
                <c:pt idx="6">
                  <c:v>0.2</c:v>
                </c:pt>
                <c:pt idx="7">
                  <c:v>-5.4</c:v>
                </c:pt>
                <c:pt idx="8">
                  <c:v>-3.1</c:v>
                </c:pt>
                <c:pt idx="9">
                  <c:v>4.4000000000000004</c:v>
                </c:pt>
                <c:pt idx="10">
                  <c:v>11.9</c:v>
                </c:pt>
                <c:pt idx="11">
                  <c:v>17.2</c:v>
                </c:pt>
                <c:pt idx="12">
                  <c:v>18.671799807507217</c:v>
                </c:pt>
                <c:pt idx="13">
                  <c:v>19.633027522935787</c:v>
                </c:pt>
                <c:pt idx="14">
                  <c:v>12.788461538461537</c:v>
                </c:pt>
                <c:pt idx="15">
                  <c:v>13.958125623130613</c:v>
                </c:pt>
                <c:pt idx="16">
                  <c:v>21.370143149284271</c:v>
                </c:pt>
                <c:pt idx="17">
                  <c:v>19.979919678714865</c:v>
                </c:pt>
                <c:pt idx="18">
                  <c:v>24.974200206398333</c:v>
                </c:pt>
                <c:pt idx="19">
                  <c:v>25.2</c:v>
                </c:pt>
                <c:pt idx="20">
                  <c:v>19.2</c:v>
                </c:pt>
                <c:pt idx="21">
                  <c:v>11.2</c:v>
                </c:pt>
                <c:pt idx="22">
                  <c:v>11.2</c:v>
                </c:pt>
                <c:pt idx="23">
                  <c:v>4.5999999999999996</c:v>
                </c:pt>
                <c:pt idx="24">
                  <c:v>-1.18</c:v>
                </c:pt>
              </c:numCache>
            </c:numRef>
          </c:val>
          <c:smooth val="0"/>
        </c:ser>
        <c:ser>
          <c:idx val="6"/>
          <c:order val="6"/>
          <c:tx>
            <c:strRef>
              <c:f>'Domestic inflation Q1 2017'!$J$6</c:f>
              <c:strCache>
                <c:ptCount val="1"/>
                <c:pt idx="0">
                  <c:v>Vegetables</c:v>
                </c:pt>
              </c:strCache>
            </c:strRef>
          </c:tx>
          <c:spPr>
            <a:ln>
              <a:solidFill>
                <a:srgbClr val="B47800"/>
              </a:solidFill>
            </a:ln>
          </c:spPr>
          <c:marker>
            <c:symbol val="none"/>
          </c:marker>
          <c:cat>
            <c:strRef>
              <c:f>'Domestic inflation Q1 2017'!$A$34:$A$58</c:f>
              <c:strCache>
                <c:ptCount val="25"/>
                <c:pt idx="0">
                  <c:v>Apr'15</c:v>
                </c:pt>
                <c:pt idx="1">
                  <c:v>May'15</c:v>
                </c:pt>
                <c:pt idx="2">
                  <c:v>Jun'15</c:v>
                </c:pt>
                <c:pt idx="3">
                  <c:v>Jul'15</c:v>
                </c:pt>
                <c:pt idx="4">
                  <c:v>Aug'15</c:v>
                </c:pt>
                <c:pt idx="5">
                  <c:v>Sep'15</c:v>
                </c:pt>
                <c:pt idx="6">
                  <c:v>Oct 15</c:v>
                </c:pt>
                <c:pt idx="7">
                  <c:v>Nov' 15</c:v>
                </c:pt>
                <c:pt idx="8">
                  <c:v>Dec'15</c:v>
                </c:pt>
                <c:pt idx="9">
                  <c:v>Jan'16</c:v>
                </c:pt>
                <c:pt idx="10">
                  <c:v>Feb'16</c:v>
                </c:pt>
                <c:pt idx="11">
                  <c:v>mar'16</c:v>
                </c:pt>
                <c:pt idx="12">
                  <c:v>Apr'16</c:v>
                </c:pt>
                <c:pt idx="13">
                  <c:v>May'16</c:v>
                </c:pt>
                <c:pt idx="14">
                  <c:v>Jun'16</c:v>
                </c:pt>
                <c:pt idx="15">
                  <c:v>Jul'16</c:v>
                </c:pt>
                <c:pt idx="16">
                  <c:v>Aug'16</c:v>
                </c:pt>
                <c:pt idx="17">
                  <c:v>Sep'16</c:v>
                </c:pt>
                <c:pt idx="18">
                  <c:v>Oct'16</c:v>
                </c:pt>
                <c:pt idx="19">
                  <c:v>Nov'16</c:v>
                </c:pt>
                <c:pt idx="20">
                  <c:v>Dec'16</c:v>
                </c:pt>
                <c:pt idx="21">
                  <c:v>Jan'17</c:v>
                </c:pt>
                <c:pt idx="22">
                  <c:v>Feb'17</c:v>
                </c:pt>
                <c:pt idx="23">
                  <c:v>Mar'17</c:v>
                </c:pt>
                <c:pt idx="24">
                  <c:v>Apr'17</c:v>
                </c:pt>
              </c:strCache>
            </c:strRef>
          </c:cat>
          <c:val>
            <c:numRef>
              <c:f>'Domestic inflation Q1 2017'!$J$34:$J$58</c:f>
              <c:numCache>
                <c:formatCode>0.0</c:formatCode>
                <c:ptCount val="25"/>
                <c:pt idx="0">
                  <c:v>2.2000000000000002</c:v>
                </c:pt>
                <c:pt idx="1">
                  <c:v>-1.5</c:v>
                </c:pt>
                <c:pt idx="2">
                  <c:v>-1.5</c:v>
                </c:pt>
                <c:pt idx="3">
                  <c:v>-1.2</c:v>
                </c:pt>
                <c:pt idx="4">
                  <c:v>-2.4</c:v>
                </c:pt>
                <c:pt idx="5">
                  <c:v>-1.6</c:v>
                </c:pt>
                <c:pt idx="6">
                  <c:v>0</c:v>
                </c:pt>
                <c:pt idx="7">
                  <c:v>1.8</c:v>
                </c:pt>
                <c:pt idx="8">
                  <c:v>7.7</c:v>
                </c:pt>
                <c:pt idx="9">
                  <c:v>12.9</c:v>
                </c:pt>
                <c:pt idx="10">
                  <c:v>21</c:v>
                </c:pt>
                <c:pt idx="11">
                  <c:v>19</c:v>
                </c:pt>
                <c:pt idx="12">
                  <c:v>18.727915194346288</c:v>
                </c:pt>
                <c:pt idx="13">
                  <c:v>22.9706390328152</c:v>
                </c:pt>
                <c:pt idx="14">
                  <c:v>21.366024518388784</c:v>
                </c:pt>
                <c:pt idx="15">
                  <c:v>18.376449598572698</c:v>
                </c:pt>
                <c:pt idx="16">
                  <c:v>15.466666666666672</c:v>
                </c:pt>
                <c:pt idx="17">
                  <c:v>15.446428571428573</c:v>
                </c:pt>
                <c:pt idx="18">
                  <c:v>14.045936395759707</c:v>
                </c:pt>
                <c:pt idx="19">
                  <c:v>12.2</c:v>
                </c:pt>
                <c:pt idx="20">
                  <c:v>8.8000000000000007</c:v>
                </c:pt>
                <c:pt idx="21">
                  <c:v>4.7</c:v>
                </c:pt>
                <c:pt idx="22">
                  <c:v>-0.49</c:v>
                </c:pt>
                <c:pt idx="23">
                  <c:v>0</c:v>
                </c:pt>
                <c:pt idx="24">
                  <c:v>-5.2</c:v>
                </c:pt>
              </c:numCache>
            </c:numRef>
          </c:val>
          <c:smooth val="0"/>
        </c:ser>
        <c:dLbls>
          <c:showLegendKey val="0"/>
          <c:showVal val="0"/>
          <c:showCatName val="0"/>
          <c:showSerName val="0"/>
          <c:showPercent val="0"/>
          <c:showBubbleSize val="0"/>
        </c:dLbls>
        <c:marker val="1"/>
        <c:smooth val="0"/>
        <c:axId val="553164800"/>
        <c:axId val="553166336"/>
      </c:lineChart>
      <c:catAx>
        <c:axId val="553164800"/>
        <c:scaling>
          <c:orientation val="minMax"/>
        </c:scaling>
        <c:delete val="0"/>
        <c:axPos val="b"/>
        <c:majorTickMark val="out"/>
        <c:minorTickMark val="none"/>
        <c:tickLblPos val="low"/>
        <c:txPr>
          <a:bodyPr/>
          <a:lstStyle/>
          <a:p>
            <a:pPr>
              <a:defRPr sz="900">
                <a:latin typeface="Arial" pitchFamily="34" charset="0"/>
                <a:cs typeface="Arial" pitchFamily="34" charset="0"/>
              </a:defRPr>
            </a:pPr>
            <a:endParaRPr lang="en-US"/>
          </a:p>
        </c:txPr>
        <c:crossAx val="553166336"/>
        <c:crosses val="autoZero"/>
        <c:auto val="1"/>
        <c:lblAlgn val="ctr"/>
        <c:lblOffset val="100"/>
        <c:noMultiLvlLbl val="0"/>
      </c:catAx>
      <c:valAx>
        <c:axId val="553166336"/>
        <c:scaling>
          <c:orientation val="minMax"/>
          <c:max val="25"/>
        </c:scaling>
        <c:delete val="0"/>
        <c:axPos val="l"/>
        <c:majorGridlines/>
        <c:title>
          <c:tx>
            <c:rich>
              <a:bodyPr rot="-5400000" vert="horz"/>
              <a:lstStyle/>
              <a:p>
                <a:pPr>
                  <a:defRPr sz="900">
                    <a:latin typeface="Arial" pitchFamily="34" charset="0"/>
                    <a:cs typeface="Arial" pitchFamily="34" charset="0"/>
                  </a:defRPr>
                </a:pPr>
                <a:r>
                  <a:rPr lang="en-US" sz="900">
                    <a:latin typeface="Arial" pitchFamily="34" charset="0"/>
                    <a:cs typeface="Arial" pitchFamily="34" charset="0"/>
                  </a:rPr>
                  <a:t>Y/Y % Change</a:t>
                </a:r>
              </a:p>
            </c:rich>
          </c:tx>
          <c:overlay val="0"/>
        </c:title>
        <c:numFmt formatCode="0.0" sourceLinked="1"/>
        <c:majorTickMark val="out"/>
        <c:minorTickMark val="none"/>
        <c:tickLblPos val="nextTo"/>
        <c:txPr>
          <a:bodyPr/>
          <a:lstStyle/>
          <a:p>
            <a:pPr>
              <a:defRPr sz="900">
                <a:latin typeface="Arial" pitchFamily="34" charset="0"/>
                <a:cs typeface="Arial" pitchFamily="34" charset="0"/>
              </a:defRPr>
            </a:pPr>
            <a:endParaRPr lang="en-US"/>
          </a:p>
        </c:txPr>
        <c:crossAx val="553164800"/>
        <c:crosses val="autoZero"/>
        <c:crossBetween val="between"/>
      </c:valAx>
    </c:plotArea>
    <c:legend>
      <c:legendPos val="b"/>
      <c:layout>
        <c:manualLayout>
          <c:xMode val="edge"/>
          <c:yMode val="edge"/>
          <c:x val="7.6661962110351409E-2"/>
          <c:y val="0.85382663359189881"/>
          <c:w val="0.87173873691722814"/>
          <c:h val="0.12330315485864439"/>
        </c:manualLayout>
      </c:layout>
      <c:overlay val="0"/>
      <c:txPr>
        <a:bodyPr/>
        <a:lstStyle/>
        <a:p>
          <a:pPr>
            <a:defRPr sz="900">
              <a:latin typeface="Arial" pitchFamily="34" charset="0"/>
              <a:cs typeface="Arial" pitchFamily="34" charset="0"/>
            </a:defRPr>
          </a:pPr>
          <a:endParaRPr lang="en-US"/>
        </a:p>
      </c:txPr>
    </c:legend>
    <c:plotVisOnly val="1"/>
    <c:dispBlanksAs val="gap"/>
    <c:showDLblsOverMax val="0"/>
  </c:chart>
  <c:spPr>
    <a:solidFill>
      <a:schemeClr val="accent3">
        <a:lumMod val="20000"/>
        <a:lumOff val="80000"/>
      </a:schemeClr>
    </a:soli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Sheet1!$D$82</c:f>
              <c:strCache>
                <c:ptCount val="1"/>
                <c:pt idx="0">
                  <c:v>Men</c:v>
                </c:pt>
              </c:strCache>
            </c:strRef>
          </c:tx>
          <c:spPr>
            <a:ln w="57150">
              <a:solidFill>
                <a:srgbClr val="D8A851"/>
              </a:solidFill>
            </a:ln>
          </c:spPr>
          <c:marker>
            <c:symbol val="none"/>
          </c:marker>
          <c:cat>
            <c:strRef>
              <c:f>Sheet1!$C$99:$C$107</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Sheet1!$D$99:$D$107</c:f>
              <c:numCache>
                <c:formatCode>General</c:formatCode>
                <c:ptCount val="9"/>
                <c:pt idx="0">
                  <c:v>603</c:v>
                </c:pt>
                <c:pt idx="1">
                  <c:v>584</c:v>
                </c:pt>
                <c:pt idx="2">
                  <c:v>589</c:v>
                </c:pt>
                <c:pt idx="3">
                  <c:v>572</c:v>
                </c:pt>
                <c:pt idx="4">
                  <c:v>598</c:v>
                </c:pt>
                <c:pt idx="5">
                  <c:v>590</c:v>
                </c:pt>
                <c:pt idx="6">
                  <c:v>627</c:v>
                </c:pt>
                <c:pt idx="7">
                  <c:v>614</c:v>
                </c:pt>
                <c:pt idx="8">
                  <c:v>597</c:v>
                </c:pt>
              </c:numCache>
            </c:numRef>
          </c:val>
          <c:smooth val="0"/>
        </c:ser>
        <c:ser>
          <c:idx val="1"/>
          <c:order val="1"/>
          <c:tx>
            <c:strRef>
              <c:f>Sheet1!$E$82</c:f>
              <c:strCache>
                <c:ptCount val="1"/>
                <c:pt idx="0">
                  <c:v>Women</c:v>
                </c:pt>
              </c:strCache>
            </c:strRef>
          </c:tx>
          <c:spPr>
            <a:ln w="57150">
              <a:solidFill>
                <a:schemeClr val="accent3">
                  <a:lumMod val="50000"/>
                </a:schemeClr>
              </a:solidFill>
            </a:ln>
          </c:spPr>
          <c:marker>
            <c:symbol val="none"/>
          </c:marker>
          <c:cat>
            <c:strRef>
              <c:f>Sheet1!$C$99:$C$107</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Sheet1!$E$99:$E$107</c:f>
              <c:numCache>
                <c:formatCode>General</c:formatCode>
                <c:ptCount val="9"/>
                <c:pt idx="0">
                  <c:v>289</c:v>
                </c:pt>
                <c:pt idx="1">
                  <c:v>286</c:v>
                </c:pt>
                <c:pt idx="2">
                  <c:v>308</c:v>
                </c:pt>
                <c:pt idx="3">
                  <c:v>288</c:v>
                </c:pt>
                <c:pt idx="4">
                  <c:v>271</c:v>
                </c:pt>
                <c:pt idx="5">
                  <c:v>235</c:v>
                </c:pt>
                <c:pt idx="6">
                  <c:v>255</c:v>
                </c:pt>
                <c:pt idx="7">
                  <c:v>305</c:v>
                </c:pt>
                <c:pt idx="8">
                  <c:v>278</c:v>
                </c:pt>
              </c:numCache>
            </c:numRef>
          </c:val>
          <c:smooth val="0"/>
        </c:ser>
        <c:ser>
          <c:idx val="2"/>
          <c:order val="2"/>
          <c:tx>
            <c:strRef>
              <c:f>Sheet1!$F$82</c:f>
              <c:strCache>
                <c:ptCount val="1"/>
                <c:pt idx="0">
                  <c:v>Total</c:v>
                </c:pt>
              </c:strCache>
            </c:strRef>
          </c:tx>
          <c:spPr>
            <a:ln w="57150">
              <a:solidFill>
                <a:schemeClr val="accent3">
                  <a:lumMod val="60000"/>
                  <a:lumOff val="40000"/>
                </a:schemeClr>
              </a:solidFill>
            </a:ln>
          </c:spPr>
          <c:marker>
            <c:symbol val="none"/>
          </c:marker>
          <c:cat>
            <c:strRef>
              <c:f>Sheet1!$C$99:$C$107</c:f>
              <c:strCache>
                <c:ptCount val="9"/>
                <c:pt idx="0">
                  <c:v>Q1 2015</c:v>
                </c:pt>
                <c:pt idx="1">
                  <c:v>Q2 2015</c:v>
                </c:pt>
                <c:pt idx="2">
                  <c:v>Q3 2015</c:v>
                </c:pt>
                <c:pt idx="3">
                  <c:v>Q4 2015</c:v>
                </c:pt>
                <c:pt idx="4">
                  <c:v>Q1 2016</c:v>
                </c:pt>
                <c:pt idx="5">
                  <c:v>Q2 2016</c:v>
                </c:pt>
                <c:pt idx="6">
                  <c:v>Q3 2016</c:v>
                </c:pt>
                <c:pt idx="7">
                  <c:v>Q4 2016</c:v>
                </c:pt>
                <c:pt idx="8">
                  <c:v>Q1 2017</c:v>
                </c:pt>
              </c:strCache>
            </c:strRef>
          </c:cat>
          <c:val>
            <c:numRef>
              <c:f>Sheet1!$F$99:$F$107</c:f>
              <c:numCache>
                <c:formatCode>General</c:formatCode>
                <c:ptCount val="9"/>
                <c:pt idx="0">
                  <c:v>891</c:v>
                </c:pt>
                <c:pt idx="1">
                  <c:v>869</c:v>
                </c:pt>
                <c:pt idx="2">
                  <c:v>897</c:v>
                </c:pt>
                <c:pt idx="3">
                  <c:v>860</c:v>
                </c:pt>
                <c:pt idx="4">
                  <c:v>869</c:v>
                </c:pt>
                <c:pt idx="5">
                  <c:v>825</c:v>
                </c:pt>
                <c:pt idx="6">
                  <c:v>881</c:v>
                </c:pt>
                <c:pt idx="7">
                  <c:v>919</c:v>
                </c:pt>
                <c:pt idx="8">
                  <c:v>875</c:v>
                </c:pt>
              </c:numCache>
            </c:numRef>
          </c:val>
          <c:smooth val="0"/>
        </c:ser>
        <c:dLbls>
          <c:showLegendKey val="0"/>
          <c:showVal val="0"/>
          <c:showCatName val="0"/>
          <c:showSerName val="0"/>
          <c:showPercent val="0"/>
          <c:showBubbleSize val="0"/>
        </c:dLbls>
        <c:marker val="1"/>
        <c:smooth val="0"/>
        <c:axId val="553856000"/>
        <c:axId val="553865984"/>
      </c:lineChart>
      <c:catAx>
        <c:axId val="553856000"/>
        <c:scaling>
          <c:orientation val="minMax"/>
        </c:scaling>
        <c:delete val="0"/>
        <c:axPos val="b"/>
        <c:numFmt formatCode="0" sourceLinked="1"/>
        <c:majorTickMark val="out"/>
        <c:minorTickMark val="none"/>
        <c:tickLblPos val="nextTo"/>
        <c:txPr>
          <a:bodyPr/>
          <a:lstStyle/>
          <a:p>
            <a:pPr>
              <a:defRPr>
                <a:latin typeface="Arial" pitchFamily="34" charset="0"/>
                <a:cs typeface="Arial" pitchFamily="34" charset="0"/>
              </a:defRPr>
            </a:pPr>
            <a:endParaRPr lang="en-US"/>
          </a:p>
        </c:txPr>
        <c:crossAx val="553865984"/>
        <c:crosses val="autoZero"/>
        <c:auto val="1"/>
        <c:lblAlgn val="ctr"/>
        <c:lblOffset val="100"/>
        <c:noMultiLvlLbl val="0"/>
      </c:catAx>
      <c:valAx>
        <c:axId val="553865984"/>
        <c:scaling>
          <c:orientation val="minMax"/>
        </c:scaling>
        <c:delete val="0"/>
        <c:axPos val="l"/>
        <c:majorGridlines/>
        <c:title>
          <c:tx>
            <c:rich>
              <a:bodyPr rot="-5400000" vert="horz"/>
              <a:lstStyle/>
              <a:p>
                <a:pPr>
                  <a:defRPr b="0">
                    <a:latin typeface="Arial" pitchFamily="34" charset="0"/>
                    <a:cs typeface="Arial" pitchFamily="34" charset="0"/>
                  </a:defRPr>
                </a:pPr>
                <a:r>
                  <a:rPr lang="en-ZA" b="0">
                    <a:latin typeface="Arial" pitchFamily="34" charset="0"/>
                    <a:cs typeface="Arial" pitchFamily="34" charset="0"/>
                  </a:rPr>
                  <a:t>Thousand</a:t>
                </a:r>
              </a:p>
            </c:rich>
          </c:tx>
          <c:overlay val="0"/>
        </c:title>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553856000"/>
        <c:crosses val="autoZero"/>
        <c:crossBetween val="between"/>
      </c:valAx>
    </c:plotArea>
    <c:legend>
      <c:legendPos val="b"/>
      <c:overlay val="0"/>
      <c:txPr>
        <a:bodyPr/>
        <a:lstStyle/>
        <a:p>
          <a:pPr>
            <a:defRPr>
              <a:latin typeface="Arial" pitchFamily="34" charset="0"/>
              <a:cs typeface="Arial" pitchFamily="34" charset="0"/>
            </a:defRPr>
          </a:pPr>
          <a:endParaRPr lang="en-US"/>
        </a:p>
      </c:txPr>
    </c:legend>
    <c:plotVisOnly val="1"/>
    <c:dispBlanksAs val="gap"/>
    <c:showDLblsOverMax val="0"/>
  </c:chart>
  <c:spPr>
    <a:solidFill>
      <a:schemeClr val="accent3">
        <a:lumMod val="20000"/>
        <a:lumOff val="80000"/>
      </a:schemeClr>
    </a:solidFill>
    <a:ln w="22225">
      <a:solidFill>
        <a:schemeClr val="accent3">
          <a:lumMod val="60000"/>
          <a:lumOff val="40000"/>
        </a:schemeClr>
      </a:solidFill>
    </a:ln>
  </c:sp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 Bk B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F9F"/>
    <w:rsid w:val="00287F9F"/>
    <w:rsid w:val="00EF650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429BCA59F54ADAB067D30B451E9C0F">
    <w:name w:val="F4429BCA59F54ADAB067D30B451E9C0F"/>
    <w:rsid w:val="00287F9F"/>
  </w:style>
  <w:style w:type="paragraph" w:customStyle="1" w:styleId="F9321BB748954142B730372F6F189CF5">
    <w:name w:val="F9321BB748954142B730372F6F189CF5"/>
    <w:rsid w:val="00287F9F"/>
  </w:style>
  <w:style w:type="paragraph" w:customStyle="1" w:styleId="BCBE6A7089D94ADAA05D3FEA5808ECD7">
    <w:name w:val="BCBE6A7089D94ADAA05D3FEA5808ECD7"/>
    <w:rsid w:val="00287F9F"/>
  </w:style>
  <w:style w:type="paragraph" w:customStyle="1" w:styleId="E2E8784D1CE84E45BDD9A3895F5DB0CD">
    <w:name w:val="E2E8784D1CE84E45BDD9A3895F5DB0CD"/>
    <w:rsid w:val="00287F9F"/>
  </w:style>
  <w:style w:type="paragraph" w:customStyle="1" w:styleId="0F9EAA53F0914A11AAEFFA1701CE5B02">
    <w:name w:val="0F9EAA53F0914A11AAEFFA1701CE5B02"/>
    <w:rsid w:val="00287F9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429BCA59F54ADAB067D30B451E9C0F">
    <w:name w:val="F4429BCA59F54ADAB067D30B451E9C0F"/>
    <w:rsid w:val="00287F9F"/>
  </w:style>
  <w:style w:type="paragraph" w:customStyle="1" w:styleId="F9321BB748954142B730372F6F189CF5">
    <w:name w:val="F9321BB748954142B730372F6F189CF5"/>
    <w:rsid w:val="00287F9F"/>
  </w:style>
  <w:style w:type="paragraph" w:customStyle="1" w:styleId="BCBE6A7089D94ADAA05D3FEA5808ECD7">
    <w:name w:val="BCBE6A7089D94ADAA05D3FEA5808ECD7"/>
    <w:rsid w:val="00287F9F"/>
  </w:style>
  <w:style w:type="paragraph" w:customStyle="1" w:styleId="E2E8784D1CE84E45BDD9A3895F5DB0CD">
    <w:name w:val="E2E8784D1CE84E45BDD9A3895F5DB0CD"/>
    <w:rsid w:val="00287F9F"/>
  </w:style>
  <w:style w:type="paragraph" w:customStyle="1" w:styleId="0F9EAA53F0914A11AAEFFA1701CE5B02">
    <w:name w:val="0F9EAA53F0914A11AAEFFA1701CE5B02"/>
    <w:rsid w:val="00287F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FE0BA3-B92C-4AAC-BC07-55213D54B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12068</Words>
  <Characters>68793</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PresentG</dc:creator>
  <cp:lastModifiedBy>HeidiP</cp:lastModifiedBy>
  <cp:revision>2</cp:revision>
  <cp:lastPrinted>2017-06-28T09:24:00Z</cp:lastPrinted>
  <dcterms:created xsi:type="dcterms:W3CDTF">2017-09-13T13:30:00Z</dcterms:created>
  <dcterms:modified xsi:type="dcterms:W3CDTF">2017-09-13T13:30:00Z</dcterms:modified>
</cp:coreProperties>
</file>